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F9FB4" w14:textId="29D69A3D" w:rsidR="002239EF" w:rsidRDefault="00EB1B33">
      <w:pPr>
        <w:tabs>
          <w:tab w:val="left" w:pos="8084"/>
        </w:tabs>
        <w:spacing w:before="423"/>
        <w:ind w:left="1735"/>
        <w:rPr>
          <w:sz w:val="44"/>
        </w:rPr>
      </w:pPr>
      <w:r>
        <w:rPr>
          <w:noProof/>
          <w:sz w:val="4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5E52D47" wp14:editId="0406D536">
                <wp:simplePos x="0" y="0"/>
                <wp:positionH relativeFrom="page">
                  <wp:posOffset>365125</wp:posOffset>
                </wp:positionH>
                <wp:positionV relativeFrom="paragraph">
                  <wp:posOffset>4063</wp:posOffset>
                </wp:positionV>
                <wp:extent cx="942975" cy="78486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784860"/>
                        </a:xfrm>
                        <a:prstGeom prst="rect">
                          <a:avLst/>
                        </a:prstGeom>
                        <a:solidFill>
                          <a:srgbClr val="073779"/>
                        </a:solidFill>
                      </wps:spPr>
                      <wps:txbx>
                        <w:txbxContent>
                          <w:p w14:paraId="18697CD6" w14:textId="22D52027" w:rsidR="002239EF" w:rsidRDefault="00A66165" w:rsidP="00A66165">
                            <w:pPr>
                              <w:spacing w:before="417"/>
                              <w:ind w:left="1"/>
                              <w:jc w:val="center"/>
                              <w:rPr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44"/>
                              </w:rPr>
                              <w:t>ÇAĞ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8.75pt;margin-top:.3pt;width:74.25pt;height:61.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vTqxQEAAHIDAAAOAAAAZHJzL2Uyb0RvYy54bWysU9tu2zAMfR+wfxD0vjjJuiYx4hRbiw4D&#10;im1Auw+QZSkWJokapcTO349SbsX2NuxFJqVD8hySXt+NzrK9wmjAN3w2mXKmvITO+G3Df7w8vlty&#10;FpPwnbDgVcMPKvK7zds36yHUag492E4hoyQ+1kNoeJ9SqKsqyl45EScQlKdHDehEIhe3VYdioOzO&#10;VvPp9LYaALuAIFWMdPtwfOSbkl9rJdM3raNKzDacuKVyYjnbfFabtai3KEJv5ImG+AcWThhPRS+p&#10;HkQSbIfmr1TOSIQIOk0kuAq0NlIVDaRmNv1DzXMvgipaqDkxXNoU/19a+XX/HZnpaHaceeFoRC9q&#10;TC2MbJabM4RYE+Y5ECqNn2DMwCw0hieQPyNBqleYY0AkdMaMGl3+kkxGgdT/w6XnVIRJulzdzFeL&#10;D5xJelosb5a3ZSbVNThgTJ8VOJaNhiONtBAQ+6eYcnlRnyGFF1jTPRpri4Pb9t4i24s8/sX7xWKV&#10;RVFIvMIK/yPlrCSN7XgS3kJ3IN0DrUfD46+dQMWZ/eKp/3mXzgaejfZsYLL3UDYus/DwcZdAm8I2&#10;lzjmPXWOBlsYnZYwb85rv6Cuv8rmNwAAAP//AwBQSwMEFAAGAAgAAAAhAGl0cQ3cAAAABwEAAA8A&#10;AABkcnMvZG93bnJldi54bWxMjzFPwzAQhXck/oN1SGzUIWpDCXEqRMXEUAhd2Nz4SALxOYqvTeDX&#10;c0wwnt6n974rNrPv1QnH2AUycL1IQCHVwXXUGNi/Pl6tQUW25GwfCA18YYRNeX5W2NyFiV7wVHGj&#10;pIRibg20zEOudaxb9DYuwoAk2XsYvWU5x0a70U5S7nudJkmmve1IFlo74EOL9Wd19AZ4Tcvd0276&#10;rqu37Ue13btnDrfGXF7M93egGGf+g+FXX9ShFKdDOJKLqjewulkJaSADJWmaZPLZQbB0mYIuC/3f&#10;v/wBAAD//wMAUEsBAi0AFAAGAAgAAAAhALaDOJL+AAAA4QEAABMAAAAAAAAAAAAAAAAAAAAAAFtD&#10;b250ZW50X1R5cGVzXS54bWxQSwECLQAUAAYACAAAACEAOP0h/9YAAACUAQAACwAAAAAAAAAAAAAA&#10;AAAvAQAAX3JlbHMvLnJlbHNQSwECLQAUAAYACAAAACEAto706sUBAAByAwAADgAAAAAAAAAAAAAA&#10;AAAuAgAAZHJzL2Uyb0RvYy54bWxQSwECLQAUAAYACAAAACEAaXRxDdwAAAAHAQAADwAAAAAAAAAA&#10;AAAAAAAfBAAAZHJzL2Rvd25yZXYueG1sUEsFBgAAAAAEAAQA8wAAACgFAAAAAA==&#10;" fillcolor="#073779" stroked="f">
                <v:path arrowok="t"/>
                <v:textbox inset="0,0,0,0">
                  <w:txbxContent>
                    <w:p w14:paraId="18697CD6" w14:textId="22D52027" w:rsidR="002239EF" w:rsidRDefault="00A66165" w:rsidP="00A66165">
                      <w:pPr>
                        <w:spacing w:before="417"/>
                        <w:ind w:left="1"/>
                        <w:jc w:val="center"/>
                        <w:rPr>
                          <w:color w:val="000000"/>
                          <w:sz w:val="44"/>
                        </w:rPr>
                      </w:pPr>
                      <w:r>
                        <w:rPr>
                          <w:color w:val="FFFFFF"/>
                          <w:spacing w:val="-2"/>
                          <w:sz w:val="44"/>
                        </w:rPr>
                        <w:t>ÇAĞ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73779"/>
          <w:sz w:val="44"/>
        </w:rPr>
        <w:t>POLICY</w:t>
      </w:r>
      <w:r>
        <w:rPr>
          <w:color w:val="073779"/>
          <w:spacing w:val="-13"/>
          <w:sz w:val="44"/>
        </w:rPr>
        <w:t xml:space="preserve"> </w:t>
      </w:r>
      <w:r>
        <w:rPr>
          <w:color w:val="073779"/>
          <w:spacing w:val="-4"/>
          <w:sz w:val="44"/>
        </w:rPr>
        <w:t>BRIEF</w:t>
      </w:r>
      <w:r>
        <w:rPr>
          <w:color w:val="073779"/>
          <w:sz w:val="44"/>
        </w:rPr>
        <w:tab/>
        <w:t>ISSUE</w:t>
      </w:r>
      <w:r>
        <w:rPr>
          <w:color w:val="073779"/>
          <w:spacing w:val="-7"/>
          <w:sz w:val="44"/>
        </w:rPr>
        <w:t xml:space="preserve"> </w:t>
      </w:r>
      <w:r w:rsidR="00A66165">
        <w:rPr>
          <w:color w:val="073779"/>
          <w:sz w:val="44"/>
        </w:rPr>
        <w:t>2026</w:t>
      </w:r>
      <w:r>
        <w:rPr>
          <w:color w:val="073779"/>
          <w:sz w:val="44"/>
        </w:rPr>
        <w:t>|</w:t>
      </w:r>
      <w:r>
        <w:rPr>
          <w:color w:val="073779"/>
          <w:spacing w:val="-5"/>
          <w:sz w:val="44"/>
        </w:rPr>
        <w:t xml:space="preserve"> </w:t>
      </w:r>
      <w:r w:rsidR="00A66165">
        <w:rPr>
          <w:color w:val="073779"/>
          <w:spacing w:val="-10"/>
          <w:sz w:val="44"/>
        </w:rPr>
        <w:t>3</w:t>
      </w:r>
    </w:p>
    <w:p w14:paraId="7F8E7B67" w14:textId="3E4CFFD3" w:rsidR="002239EF" w:rsidRPr="00E01A98" w:rsidRDefault="00E01A98">
      <w:pPr>
        <w:pStyle w:val="BodyText"/>
        <w:spacing w:before="400"/>
        <w:rPr>
          <w:b/>
          <w:bCs/>
          <w:color w:val="4F81BD" w:themeColor="accent1"/>
          <w:sz w:val="40"/>
        </w:rPr>
      </w:pPr>
      <w:r w:rsidRPr="00E01A98">
        <w:rPr>
          <w:b/>
          <w:bCs/>
          <w:color w:val="4F81BD" w:themeColor="accent1"/>
          <w:sz w:val="40"/>
        </w:rPr>
        <w:t>Who Governs European Football?</w:t>
      </w:r>
      <w:r w:rsidRPr="00E01A98">
        <w:rPr>
          <w:b/>
          <w:bCs/>
          <w:color w:val="4F81BD" w:themeColor="accent1"/>
          <w:sz w:val="40"/>
        </w:rPr>
        <w:br/>
        <w:t>The Political Economy of the Super League</w:t>
      </w:r>
    </w:p>
    <w:p w14:paraId="483EFB57" w14:textId="77777777" w:rsidR="002239EF" w:rsidRDefault="002239EF">
      <w:pPr>
        <w:pStyle w:val="BodyText"/>
        <w:spacing w:before="182"/>
        <w:rPr>
          <w:b/>
          <w:sz w:val="40"/>
        </w:rPr>
      </w:pPr>
    </w:p>
    <w:p w14:paraId="190A8257" w14:textId="129936D1" w:rsidR="00C41CAC" w:rsidRDefault="003976F0" w:rsidP="003976F0">
      <w:pPr>
        <w:pStyle w:val="BodyText"/>
        <w:ind w:left="3651"/>
        <w:rPr>
          <w:color w:val="0A55B8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8A820" wp14:editId="74036F1C">
                <wp:simplePos x="0" y="0"/>
                <wp:positionH relativeFrom="column">
                  <wp:posOffset>3380105</wp:posOffset>
                </wp:positionH>
                <wp:positionV relativeFrom="paragraph">
                  <wp:posOffset>544195</wp:posOffset>
                </wp:positionV>
                <wp:extent cx="2971800" cy="6789420"/>
                <wp:effectExtent l="0" t="0" r="0" b="0"/>
                <wp:wrapNone/>
                <wp:docPr id="604753549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678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2AEDA2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The 2021 European Super League (ESL) proposal highlighted a conflict between the interests of richer clubs in</w:t>
                            </w:r>
                          </w:p>
                          <w:p w14:paraId="31EB2C34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control over commercial revenues and UEFA's regulatory power over European competitions. In December 2023,</w:t>
                            </w:r>
                          </w:p>
                          <w:p w14:paraId="260BA441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E01A98">
                              <w:rPr>
                                <w:sz w:val="26"/>
                                <w:szCs w:val="26"/>
                              </w:rPr>
                              <w:t>the</w:t>
                            </w:r>
                            <w:proofErr w:type="gramEnd"/>
                            <w:r w:rsidRPr="00E01A98">
                              <w:rPr>
                                <w:sz w:val="26"/>
                                <w:szCs w:val="26"/>
                              </w:rPr>
                              <w:t xml:space="preserve"> CJEU found that the previous authorization rules of FIFA and UEFA had failed to satisfy requirements of EU</w:t>
                            </w:r>
                          </w:p>
                          <w:p w14:paraId="27A91187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competition law; the CJEU did not approve the ESL per se (Court of Justice of the European Union [CJEU], 2023).</w:t>
                            </w:r>
                          </w:p>
                          <w:p w14:paraId="1C123F90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Following an agreement of principle reached in February 2026 between Real Madrid, UEFA and European</w:t>
                            </w:r>
                          </w:p>
                          <w:p w14:paraId="031D30C9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Football Clubs, it was said that the project was finally discontinued (Ames, 2026). However, the underlying</w:t>
                            </w:r>
                          </w:p>
                          <w:p w14:paraId="11E54EB6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political-economic issues persist: Who controls access to football markets, who receives broadcasting</w:t>
                            </w:r>
                          </w:p>
                          <w:p w14:paraId="25095EBC" w14:textId="77777777" w:rsidR="00E01A98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revenues, and who governs football? The EU needs to aim for contestable competition governance, more</w:t>
                            </w:r>
                          </w:p>
                          <w:p w14:paraId="66FDC9AE" w14:textId="738408C4" w:rsidR="003976F0" w:rsidRPr="00E01A98" w:rsidRDefault="00E01A98" w:rsidP="00E01A98">
                            <w:p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sz w:val="26"/>
                                <w:szCs w:val="26"/>
                              </w:rPr>
                              <w:t>equitable revenue distribution and effective fans' representation.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6" o:spid="_x0000_s1027" style="position:absolute;left:0;text-align:left;margin-left:266.15pt;margin-top:42.85pt;width:234pt;height:534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78iigIAAFIFAAAOAAAAZHJzL2Uyb0RvYy54bWysVMlu2zAQvRfoPxC8N5Jcx46NyIGRIEWB&#10;IAmaFDnTFGkL4dYhbcn9sP5Af6xDSlaW+lT0Ig1n3uzL+UWrFdkJ8LU1JS1OckqE4baqzbqk3x+v&#10;P51R4gMzFVPWiJLuhacXi48fzhs3FyO7saoSQNCI8fPGlXQTgptnmecboZk/sU4YFEoLmgV8wjqr&#10;gDVoXatslOeTrLFQObBceI/cq05IF8m+lIKHOym9CESVFGML6Qvpu4rfbHHO5mtgblPzPgz2D1Fo&#10;Vht0Opi6YoGRLdR/mdI1B+utDCfc6sxKWXORcsBsivxdNg8b5kTKBYvj3VAm///M8tvdPZC6Kukk&#10;H09PP5+OZ5QYprFVV/Vz9fsXhLUwZBIL1Tg/R/yDu4f+5ZGMWbcSdPxjPqRNxd0PxRVtIByZo9m0&#10;OMuxBxxlk+nZbDxK5c9e1B348EVYTSJRUsDupaKy3Y0P6BKhB0j0Zux1rVTqoDJvGAiMnCxG3MWY&#10;qLBXIuKU+SYkJh2jSg7SuIlLBWTHcFAY58KElHOyhOioJtHboFgcU1ShiIVCpR4b1UQaw0ExP6b4&#10;1uOgkbxaEwZlXRsLxwxUz4PnDn/Ivss5ph/aVZs6nZCRs7LVHrsPtlsL7/h1jZW/YT7cM8A9wG7h&#10;boc7/Ehlm5LanqJkY+HnMX7E43iilJIG96qk/seWgaBEfTU4uLNiPI6LmB7j0ykOAYHXktVridnq&#10;S4sdKfCKOJ7IiA/qQEqw+glPwDJ6RREzHH2XlAc4PC5Dt+94RLhYLhMMl8+xcGMeHI/GY53jZD22&#10;TwxcP34BJ/fWHnaQzd9NYYeNmsYut8HKOo3oS137DuDiponoj0y8DK/fCfVyChd/AAAA//8DAFBL&#10;AwQUAAYACAAAACEAVg3VOuAAAAAMAQAADwAAAGRycy9kb3ducmV2LnhtbEyPTU+DQBCG7yb+h82Y&#10;eLO7/UArsjTEqEmPLSZNbwuMgLKzhN1S+u+dnvQ2H0/eeSbZTLYTIw6+daRhPlMgkEpXtVRr+Mzf&#10;H9YgfDBUmc4Rarigh016e5OYuHJn2uG4D7XgEPKx0dCE0MdS+rJBa/zM9Ui8+3KDNYHboZbVYM4c&#10;bju5UOpRWtMSX2hMj68Nlj/7k9Xgi3GbX/rs8H30ZZG9kc1X2w+t7++m7AVEwCn8wXDVZ3VI2alw&#10;J6q86DREy8WSUQ3r6AnEFVBK8aTgah6tnkGmifz/RPoLAAD//wMAUEsBAi0AFAAGAAgAAAAhALaD&#10;OJL+AAAA4QEAABMAAAAAAAAAAAAAAAAAAAAAAFtDb250ZW50X1R5cGVzXS54bWxQSwECLQAUAAYA&#10;CAAAACEAOP0h/9YAAACUAQAACwAAAAAAAAAAAAAAAAAvAQAAX3JlbHMvLnJlbHNQSwECLQAUAAYA&#10;CAAAACEANwO/IooCAABSBQAADgAAAAAAAAAAAAAAAAAuAgAAZHJzL2Uyb0RvYy54bWxQSwECLQAU&#10;AAYACAAAACEAVg3VOuAAAAAMAQAADwAAAAAAAAAAAAAAAADkBAAAZHJzL2Rvd25yZXYueG1sUEsF&#10;BgAAAAAEAAQA8wAAAPEFAAAAAA==&#10;" filled="f" stroked="f" strokeweight="2pt">
                <v:textbox>
                  <w:txbxContent>
                    <w:p w14:paraId="482AEDA2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The 2021 European Super League (ESL) proposal highlighted a conflict between the interests of richer clubs in</w:t>
                      </w:r>
                    </w:p>
                    <w:p w14:paraId="31EB2C34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control over commercial revenues and UEFA's regulatory power over European competitions. In December 2023,</w:t>
                      </w:r>
                    </w:p>
                    <w:p w14:paraId="260BA441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E01A98">
                        <w:rPr>
                          <w:sz w:val="26"/>
                          <w:szCs w:val="26"/>
                        </w:rPr>
                        <w:t>the</w:t>
                      </w:r>
                      <w:proofErr w:type="gramEnd"/>
                      <w:r w:rsidRPr="00E01A98">
                        <w:rPr>
                          <w:sz w:val="26"/>
                          <w:szCs w:val="26"/>
                        </w:rPr>
                        <w:t xml:space="preserve"> CJEU found that the previous authorization rules of FIFA and UEFA had failed to satisfy requirements of EU</w:t>
                      </w:r>
                    </w:p>
                    <w:p w14:paraId="27A91187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competition law; the CJEU did not approve the ESL per se (Court of Justice of the European Union [CJEU], 2023).</w:t>
                      </w:r>
                    </w:p>
                    <w:p w14:paraId="1C123F90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Following an agreement of principle reached in February 2026 between Real Madrid, UEFA and European</w:t>
                      </w:r>
                    </w:p>
                    <w:p w14:paraId="031D30C9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Football Clubs, it was said that the project was finally discontinued (Ames, 2026). However, the underlying</w:t>
                      </w:r>
                    </w:p>
                    <w:p w14:paraId="11E54EB6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political-economic issues persist: Who controls access to football markets, who receives broadcasting</w:t>
                      </w:r>
                    </w:p>
                    <w:p w14:paraId="25095EBC" w14:textId="77777777" w:rsidR="00E01A98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revenues, and who governs football? The EU needs to aim for contestable competition governance, more</w:t>
                      </w:r>
                    </w:p>
                    <w:p w14:paraId="66FDC9AE" w14:textId="738408C4" w:rsidR="003976F0" w:rsidRPr="00E01A98" w:rsidRDefault="00E01A98" w:rsidP="00E01A98">
                      <w:pPr>
                        <w:jc w:val="both"/>
                        <w:rPr>
                          <w:sz w:val="26"/>
                          <w:szCs w:val="26"/>
                        </w:rPr>
                      </w:pPr>
                      <w:r w:rsidRPr="00E01A98">
                        <w:rPr>
                          <w:sz w:val="26"/>
                          <w:szCs w:val="26"/>
                        </w:rPr>
                        <w:t>equitable revenue distribution and effective fans' representation.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52E38FC" wp14:editId="294CD026">
                <wp:simplePos x="0" y="0"/>
                <wp:positionH relativeFrom="page">
                  <wp:posOffset>7112000</wp:posOffset>
                </wp:positionH>
                <wp:positionV relativeFrom="paragraph">
                  <wp:posOffset>-6701</wp:posOffset>
                </wp:positionV>
                <wp:extent cx="82550" cy="64325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0" cy="6432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0" h="6432550">
                              <a:moveTo>
                                <a:pt x="82550" y="0"/>
                              </a:moveTo>
                              <a:lnTo>
                                <a:pt x="0" y="0"/>
                              </a:lnTo>
                              <a:lnTo>
                                <a:pt x="0" y="6432550"/>
                              </a:lnTo>
                              <a:lnTo>
                                <a:pt x="82550" y="6432550"/>
                              </a:lnTo>
                              <a:lnTo>
                                <a:pt x="82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37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3C7476" id="Graphic 2" o:spid="_x0000_s1026" style="position:absolute;margin-left:560pt;margin-top:-.55pt;width:6.5pt;height:506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0,643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AG/HgIAAL8EAAAOAAAAZHJzL2Uyb0RvYy54bWysVE1v2zAMvQ/YfxB0X5ym68eMOMXQosOA&#10;oivQDDsrshwbk02NVGLn34+SIyfbTht2kUnziX58JL28G1or9gapga6QF7O5FKbTUDbdtpBf14/v&#10;bqUgr7pSWehMIQ+G5N3q7Ztl73KzgBpsaVBwko7y3hWy9t7lWUa6Nq2iGTjTcbACbJVnF7dZiarn&#10;7K3NFvP5ddYDlg5BGyJ++zAG5Srmryqj/ZeqIuOFLSRz8/HEeG7Cma2WKt+icnWjjzTUP7BoVdPx&#10;R6dUD8orscPmj1RtoxEIKj/T0GZQVY02sQau5mL+WzWvtXIm1sLikJtkov+XVj/vX90LBurknkB/&#10;J1Yk6x3lUyQ4dMQMFbYBy8TFEFU8TCqawQvNL28XV1cstebI9fvL6IScKk+X9Y78JwMxkdo/kR+b&#10;UCZL1cnSQ5dM5FaGJtrYRC8FNxGl4CZuxiY65cO9wC6Yop+Y1CciIdrC3qwh4nwo4sg3FcJETwjb&#10;nSO5qjNUiqWni9lGzK+FJ0R6jsjTd/8OHYeWWaZs2gKZUeFQeJR6EoNx53IT2KZ8bKwN5RNuN/cW&#10;xV6F5bi5vLn5EKTkK2ewOAtj+8MgbKA8vKDoeWMKST92Co0U9nPHIxnWKxmYjE0y0Nt7iEsYlUfy&#10;6+GbQiccm4X0PD3PkAZe5WkumEwAjNhws4OPOw9VE4YmchsZHR3ekljAcaPDGp77EXX676x+AgAA&#10;//8DAFBLAwQUAAYACAAAACEAHla9/uAAAAANAQAADwAAAGRycy9kb3ducmV2LnhtbEyPwU7DMBBE&#10;70j8g7VIXFDrmApU0jgVQkIqUi8tfIATb+Oo8TrEbhP4erYnetvZHc2+KdaT78QZh9gG0qDmGQik&#10;OtiWGg1fn++zJYiYDFnTBUINPxhhXd7eFCa3YaQdnvepERxCMTcaXEp9LmWsHXoT56FH4tshDN4k&#10;lkMj7WBGDvedfMyyZ+lNS/zBmR7fHNbH/clrOD5t/JbG9uF39xGrb7dZYh+3Wt/fTa8rEAmn9G+G&#10;Cz6jQ8lMVTiRjaJjrTifvRpmSoG4ONRiwZuKp0ypF5BlIa9blH8AAAD//wMAUEsBAi0AFAAGAAgA&#10;AAAhALaDOJL+AAAA4QEAABMAAAAAAAAAAAAAAAAAAAAAAFtDb250ZW50X1R5cGVzXS54bWxQSwEC&#10;LQAUAAYACAAAACEAOP0h/9YAAACUAQAACwAAAAAAAAAAAAAAAAAvAQAAX3JlbHMvLnJlbHNQSwEC&#10;LQAUAAYACAAAACEAVkgBvx4CAAC/BAAADgAAAAAAAAAAAAAAAAAuAgAAZHJzL2Uyb0RvYy54bWxQ&#10;SwECLQAUAAYACAAAACEAHla9/uAAAAANAQAADwAAAAAAAAAAAAAAAAB4BAAAZHJzL2Rvd25yZXYu&#10;eG1sUEsFBgAAAAAEAAQA8wAAAIUFAAAAAA==&#10;" path="m82550,l,,,6432550r82550,l82550,xe" fillcolor="#073779" stroked="f">
                <v:path arrowok="t"/>
                <w10:wrap anchorx="page"/>
              </v:shape>
            </w:pict>
          </mc:Fallback>
        </mc:AlternateContent>
      </w:r>
      <w:r w:rsidR="00C41CAC">
        <w:rPr>
          <w:color w:val="0A55B8"/>
          <w:spacing w:val="-2"/>
        </w:rPr>
        <w:t xml:space="preserve">                             </w:t>
      </w:r>
      <w:r>
        <w:rPr>
          <w:color w:val="0A55B8"/>
          <w:spacing w:val="-2"/>
        </w:rPr>
        <w:t>Summary</w:t>
      </w:r>
    </w:p>
    <w:p w14:paraId="02C8CD20" w14:textId="6D0B576D" w:rsidR="003976F0" w:rsidRPr="003976F0" w:rsidRDefault="003976F0" w:rsidP="003976F0">
      <w:pPr>
        <w:pStyle w:val="BodyText"/>
        <w:rPr>
          <w:color w:val="0A55B8"/>
          <w:spacing w:val="-2"/>
        </w:rPr>
        <w:sectPr w:rsidR="003976F0" w:rsidRPr="003976F0">
          <w:type w:val="continuous"/>
          <w:pgSz w:w="11910" w:h="16840"/>
          <w:pgMar w:top="560" w:right="425" w:bottom="280" w:left="425" w:header="708" w:footer="708" w:gutter="0"/>
          <w:cols w:space="708"/>
        </w:sectPr>
      </w:pPr>
    </w:p>
    <w:p w14:paraId="6C71ECB6" w14:textId="77777777" w:rsidR="002239EF" w:rsidRDefault="00EB1B33" w:rsidP="00C41CAC">
      <w:pPr>
        <w:pStyle w:val="Heading3"/>
        <w:ind w:left="0"/>
      </w:pPr>
      <w:r>
        <w:lastRenderedPageBreak/>
        <w:t>KEY</w:t>
      </w:r>
      <w:r>
        <w:rPr>
          <w:spacing w:val="-1"/>
        </w:rPr>
        <w:t xml:space="preserve"> </w:t>
      </w:r>
      <w:r>
        <w:rPr>
          <w:spacing w:val="-2"/>
        </w:rPr>
        <w:t>POINTS</w:t>
      </w:r>
    </w:p>
    <w:p w14:paraId="6992E2C6" w14:textId="77777777" w:rsidR="002239EF" w:rsidRDefault="002239EF">
      <w:pPr>
        <w:pStyle w:val="BodyText"/>
        <w:spacing w:before="36"/>
        <w:rPr>
          <w:b/>
          <w:sz w:val="28"/>
        </w:rPr>
      </w:pPr>
    </w:p>
    <w:p w14:paraId="5DE9B280" w14:textId="77777777" w:rsidR="00E01A98" w:rsidRPr="00E01A98" w:rsidRDefault="008B7703" w:rsidP="00E01A98">
      <w:pPr>
        <w:pStyle w:val="BodyText"/>
        <w:spacing w:before="36"/>
        <w:jc w:val="both"/>
        <w:rPr>
          <w:b/>
          <w:sz w:val="28"/>
        </w:rPr>
      </w:pPr>
      <w:r w:rsidRPr="008B7703">
        <w:rPr>
          <w:b/>
          <w:sz w:val="28"/>
        </w:rPr>
        <w:t xml:space="preserve">1. </w:t>
      </w:r>
      <w:r w:rsidR="00E01A98" w:rsidRPr="00E01A98">
        <w:rPr>
          <w:b/>
          <w:sz w:val="28"/>
        </w:rPr>
        <w:t>The ESL issue is an issue of market power because large clubs and football organizations both have market</w:t>
      </w:r>
    </w:p>
    <w:p w14:paraId="562BBB77" w14:textId="6971B329" w:rsidR="008B7703" w:rsidRDefault="00E01A98" w:rsidP="00E01A98">
      <w:pPr>
        <w:pStyle w:val="BodyText"/>
        <w:spacing w:before="36"/>
        <w:jc w:val="both"/>
        <w:rPr>
          <w:b/>
          <w:sz w:val="28"/>
        </w:rPr>
      </w:pPr>
      <w:r w:rsidRPr="00E01A98">
        <w:rPr>
          <w:b/>
          <w:sz w:val="28"/>
        </w:rPr>
        <w:t>power with respect to the availability of competition, media deals and revenue.</w:t>
      </w:r>
    </w:p>
    <w:p w14:paraId="0FB35AFC" w14:textId="77777777" w:rsidR="00E01A98" w:rsidRPr="008B7703" w:rsidRDefault="00E01A98" w:rsidP="00E01A98">
      <w:pPr>
        <w:pStyle w:val="BodyText"/>
        <w:spacing w:before="36"/>
        <w:jc w:val="both"/>
        <w:rPr>
          <w:b/>
          <w:sz w:val="28"/>
        </w:rPr>
      </w:pPr>
    </w:p>
    <w:p w14:paraId="3485D748" w14:textId="77777777" w:rsidR="00E01A98" w:rsidRPr="00E01A98" w:rsidRDefault="008B7703" w:rsidP="00E01A98">
      <w:pPr>
        <w:pStyle w:val="BodyText"/>
        <w:spacing w:before="36"/>
        <w:jc w:val="both"/>
        <w:rPr>
          <w:b/>
          <w:sz w:val="28"/>
        </w:rPr>
      </w:pPr>
      <w:r w:rsidRPr="008B7703">
        <w:rPr>
          <w:b/>
          <w:sz w:val="28"/>
        </w:rPr>
        <w:t xml:space="preserve">2. </w:t>
      </w:r>
      <w:r w:rsidR="00E01A98" w:rsidRPr="00E01A98">
        <w:rPr>
          <w:b/>
          <w:sz w:val="28"/>
        </w:rPr>
        <w:t>The 2023 CJEU decision mandates a clear and proportionate authorization process; it does not create a</w:t>
      </w:r>
    </w:p>
    <w:p w14:paraId="7D459FA9" w14:textId="0DA0A872" w:rsidR="008B7703" w:rsidRDefault="00E01A98" w:rsidP="00E01A98">
      <w:pPr>
        <w:pStyle w:val="BodyText"/>
        <w:spacing w:before="36"/>
        <w:jc w:val="both"/>
        <w:rPr>
          <w:b/>
          <w:sz w:val="28"/>
        </w:rPr>
      </w:pPr>
      <w:proofErr w:type="gramStart"/>
      <w:r w:rsidRPr="00E01A98">
        <w:rPr>
          <w:b/>
          <w:sz w:val="28"/>
        </w:rPr>
        <w:t>right</w:t>
      </w:r>
      <w:proofErr w:type="gramEnd"/>
      <w:r w:rsidRPr="00E01A98">
        <w:rPr>
          <w:b/>
          <w:sz w:val="28"/>
        </w:rPr>
        <w:t xml:space="preserve"> to create any particular breakaway league.</w:t>
      </w:r>
    </w:p>
    <w:p w14:paraId="32AAE616" w14:textId="77777777" w:rsidR="00E01A98" w:rsidRPr="008B7703" w:rsidRDefault="00E01A98" w:rsidP="00E01A98">
      <w:pPr>
        <w:pStyle w:val="BodyText"/>
        <w:spacing w:before="36"/>
        <w:jc w:val="both"/>
        <w:rPr>
          <w:b/>
          <w:sz w:val="28"/>
        </w:rPr>
      </w:pPr>
    </w:p>
    <w:p w14:paraId="10BD8EB6" w14:textId="77777777" w:rsidR="00E01A98" w:rsidRPr="00E01A98" w:rsidRDefault="008B7703" w:rsidP="00E01A98">
      <w:pPr>
        <w:pStyle w:val="BodyText"/>
        <w:spacing w:before="36"/>
        <w:jc w:val="both"/>
        <w:rPr>
          <w:b/>
          <w:sz w:val="28"/>
        </w:rPr>
      </w:pPr>
      <w:r w:rsidRPr="008B7703">
        <w:rPr>
          <w:b/>
          <w:sz w:val="28"/>
        </w:rPr>
        <w:t xml:space="preserve">3. </w:t>
      </w:r>
      <w:r w:rsidR="00E01A98" w:rsidRPr="00E01A98">
        <w:rPr>
          <w:b/>
          <w:sz w:val="28"/>
        </w:rPr>
        <w:t>Sustainable reform should combine oversight, competitive balance tools and stakeholder engagement instead</w:t>
      </w:r>
    </w:p>
    <w:p w14:paraId="580C8D6C" w14:textId="53189CB4" w:rsidR="002239EF" w:rsidRDefault="00E01A98" w:rsidP="00E01A98">
      <w:pPr>
        <w:pStyle w:val="BodyText"/>
        <w:spacing w:before="36"/>
        <w:jc w:val="both"/>
      </w:pPr>
      <w:r w:rsidRPr="00E01A98">
        <w:rPr>
          <w:b/>
          <w:sz w:val="28"/>
        </w:rPr>
        <w:t>of prohibition of new leagues.</w:t>
      </w:r>
      <w:r>
        <w:br w:type="column"/>
      </w:r>
    </w:p>
    <w:p w14:paraId="749A5C4C" w14:textId="77777777" w:rsidR="002239EF" w:rsidRDefault="002239EF">
      <w:pPr>
        <w:pStyle w:val="BodyText"/>
        <w:spacing w:line="271" w:lineRule="auto"/>
        <w:jc w:val="both"/>
        <w:sectPr w:rsidR="002239EF">
          <w:type w:val="continuous"/>
          <w:pgSz w:w="11910" w:h="16840"/>
          <w:pgMar w:top="560" w:right="425" w:bottom="280" w:left="425" w:header="708" w:footer="708" w:gutter="0"/>
          <w:cols w:num="2" w:space="708" w:equalWidth="0">
            <w:col w:w="3180" w:space="325"/>
            <w:col w:w="7555"/>
          </w:cols>
        </w:sectPr>
      </w:pPr>
    </w:p>
    <w:p w14:paraId="352C3A86" w14:textId="72D8D317" w:rsidR="002239EF" w:rsidRPr="008B7703" w:rsidRDefault="002239EF" w:rsidP="008B7703">
      <w:pPr>
        <w:pStyle w:val="BodyText"/>
        <w:rPr>
          <w:rFonts w:ascii="Times New Roman" w:hAnsi="Times New Roman" w:cs="Times New Roman"/>
          <w:sz w:val="20"/>
        </w:rPr>
      </w:pPr>
    </w:p>
    <w:p w14:paraId="7CCE04F0" w14:textId="77777777" w:rsidR="002239EF" w:rsidRDefault="002239EF">
      <w:pPr>
        <w:pStyle w:val="BodyText"/>
        <w:rPr>
          <w:sz w:val="20"/>
        </w:rPr>
      </w:pPr>
    </w:p>
    <w:p w14:paraId="06A0585D" w14:textId="77777777" w:rsidR="002239EF" w:rsidRDefault="002239EF">
      <w:pPr>
        <w:pStyle w:val="BodyText"/>
        <w:spacing w:before="179"/>
        <w:rPr>
          <w:sz w:val="20"/>
        </w:rPr>
      </w:pPr>
    </w:p>
    <w:p w14:paraId="506A8DEC" w14:textId="4A6B7136" w:rsidR="002239EF" w:rsidRDefault="00EB1B33">
      <w:pPr>
        <w:tabs>
          <w:tab w:val="left" w:pos="3510"/>
          <w:tab w:val="left" w:pos="7525"/>
        </w:tabs>
        <w:ind w:left="498"/>
        <w:rPr>
          <w:position w:val="2"/>
          <w:sz w:val="20"/>
        </w:rPr>
      </w:pPr>
      <w:r>
        <w:rPr>
          <w:sz w:val="20"/>
        </w:rPr>
        <w:tab/>
      </w:r>
      <w:r>
        <w:rPr>
          <w:position w:val="6"/>
          <w:sz w:val="20"/>
        </w:rPr>
        <w:tab/>
      </w:r>
    </w:p>
    <w:p w14:paraId="22D38209" w14:textId="77777777" w:rsidR="002239EF" w:rsidRDefault="002239EF">
      <w:pPr>
        <w:rPr>
          <w:position w:val="2"/>
          <w:sz w:val="20"/>
        </w:rPr>
        <w:sectPr w:rsidR="002239EF">
          <w:type w:val="continuous"/>
          <w:pgSz w:w="11910" w:h="16840"/>
          <w:pgMar w:top="560" w:right="425" w:bottom="280" w:left="425" w:header="708" w:footer="708" w:gutter="0"/>
          <w:cols w:space="708"/>
        </w:sectPr>
      </w:pPr>
    </w:p>
    <w:p w14:paraId="27304AF1" w14:textId="06051EC9" w:rsidR="002239EF" w:rsidRDefault="00EB1B33">
      <w:pPr>
        <w:ind w:left="150" w:right="-7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3EAEE00" wp14:editId="36F0BE3A">
                <wp:extent cx="3334385" cy="61849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4385" cy="618490"/>
                        </a:xfrm>
                        <a:prstGeom prst="rect">
                          <a:avLst/>
                        </a:prstGeom>
                        <a:solidFill>
                          <a:srgbClr val="073779"/>
                        </a:solidFill>
                      </wps:spPr>
                      <wps:txbx>
                        <w:txbxContent>
                          <w:p w14:paraId="2E1A65F9" w14:textId="31BE1A6C" w:rsidR="002239EF" w:rsidRDefault="00A66165">
                            <w:pPr>
                              <w:tabs>
                                <w:tab w:val="left" w:pos="3433"/>
                              </w:tabs>
                              <w:spacing w:before="236"/>
                              <w:ind w:left="145"/>
                              <w:rPr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color w:val="FFFFFF"/>
                                <w:sz w:val="44"/>
                              </w:rPr>
                              <w:t>ÇAĞ</w:t>
                            </w:r>
                            <w:r w:rsidR="00EB1B33">
                              <w:rPr>
                                <w:color w:val="FFFFFF"/>
                                <w:spacing w:val="-14"/>
                                <w:sz w:val="44"/>
                              </w:rPr>
                              <w:t xml:space="preserve"> </w:t>
                            </w:r>
                            <w:r w:rsidR="00EB1B33">
                              <w:rPr>
                                <w:color w:val="FFFFFF"/>
                                <w:spacing w:val="-2"/>
                                <w:sz w:val="44"/>
                              </w:rPr>
                              <w:t>BRIEF</w:t>
                            </w:r>
                            <w:r>
                              <w:rPr>
                                <w:color w:val="FFFFFF"/>
                                <w:sz w:val="44"/>
                              </w:rPr>
                              <w:tab/>
                              <w:t>2026</w:t>
                            </w:r>
                            <w:r w:rsidR="00EB1B33">
                              <w:rPr>
                                <w:color w:val="FFFFFF"/>
                                <w:spacing w:val="42"/>
                                <w:w w:val="150"/>
                                <w:sz w:val="44"/>
                              </w:rPr>
                              <w:t xml:space="preserve"> </w:t>
                            </w:r>
                            <w:r w:rsidR="00EB1B33">
                              <w:rPr>
                                <w:color w:val="FFFFFF"/>
                                <w:sz w:val="44"/>
                              </w:rPr>
                              <w:t>|</w:t>
                            </w:r>
                            <w:r w:rsidR="00EB1B33">
                              <w:rPr>
                                <w:color w:val="FFFFFF"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4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" o:spid="_x0000_s1028" type="#_x0000_t202" style="width:262.55pt;height:4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hQLygEAAHwDAAAOAAAAZHJzL2Uyb0RvYy54bWysU8tu2zAQvBfoPxC81/IjjR3BctAmSFEg&#10;aAok+QCKoiyiJJfl0pb8913SlmO0tyIXio/Z3ZnZ1fp2sIbtVUANruKzyZQz5SQ02m0r/vry8GnF&#10;GUbhGmHAqYofFPLbzccP696Xag4dmEYFRkkclr2veBejL4sCZaeswAl45eixhWBFpGPYFk0QPWW3&#10;pphPp9dFD6HxAaRCpNv74yPf5Pxtq2R8altUkZmKE7eY15DXOq3FZi3KbRC+0/JEQ/wHCyu0o6Ln&#10;VPciCrYL+p9UVssACG2cSLAFtK2WKmsgNbPpX2qeO+FV1kLmoD/bhO+XVv7Y/wxMN9Q7sscJSz16&#10;UUOsYWB0Q/b0HktCPXvCxeErDATNUtE/gvyFBCkuMMcAJHSyY2iDTV8SyiiQShzOrlMVJulysVhc&#10;LVafOZP0dj1bXd3kusVbtA8YvymwLG0qHqirmYHYP2JM9UU5QlIxBKObB21MPoRtfWcC24s0AcvF&#10;cnmTVFHIBSwLOHJOUuJQD9mT+WhADc2B9Pc0KBXH3zsRFGfmu6NOpKkaN2Hc1OMmRHMHefYSGQdf&#10;dhFanUmnSse8JwepxZnYaRzTDF2eM+rtp9n8AQAA//8DAFBLAwQUAAYACAAAACEASgiF99wAAAAE&#10;AQAADwAAAGRycy9kb3ducmV2LnhtbEyPsU7DQBBEeyT+4bRIdOScKIHE+BwhIiqKgElDt/EttsG3&#10;Z/k2seHrc6GBZqXRjGbeZuvRtepIfWg8G5hOElDEpbcNVwZ2b083S1BBkC22nsnANwVY55cXGabW&#10;D/xKx0IqFUs4pGigFulSrUNZk8Mw8R1x9D5871Ci7CttexxiuWv1LElutcOG40KNHT3WVH4VB2dA&#10;ljzfPm+Hn7J433wWm519Eb8y5vpqfLgHJTTKXxjO+BEd8si09we2QbUG4iPye6O3mC2moPYGVndz&#10;0Hmm/8PnJwAAAP//AwBQSwECLQAUAAYACAAAACEAtoM4kv4AAADhAQAAEwAAAAAAAAAAAAAAAAAA&#10;AAAAW0NvbnRlbnRfVHlwZXNdLnhtbFBLAQItABQABgAIAAAAIQA4/SH/1gAAAJQBAAALAAAAAAAA&#10;AAAAAAAAAC8BAABfcmVscy8ucmVsc1BLAQItABQABgAIAAAAIQBjQhQLygEAAHwDAAAOAAAAAAAA&#10;AAAAAAAAAC4CAABkcnMvZTJvRG9jLnhtbFBLAQItABQABgAIAAAAIQBKCIX33AAAAAQBAAAPAAAA&#10;AAAAAAAAAAAAACQEAABkcnMvZG93bnJldi54bWxQSwUGAAAAAAQABADzAAAALQUAAAAA&#10;" fillcolor="#073779" stroked="f">
                <v:path arrowok="t"/>
                <v:textbox inset="0,0,0,0">
                  <w:txbxContent>
                    <w:p w14:paraId="2E1A65F9" w14:textId="31BE1A6C" w:rsidR="002239EF" w:rsidRDefault="00A66165">
                      <w:pPr>
                        <w:tabs>
                          <w:tab w:val="left" w:pos="3433"/>
                        </w:tabs>
                        <w:spacing w:before="236"/>
                        <w:ind w:left="145"/>
                        <w:rPr>
                          <w:color w:val="000000"/>
                          <w:sz w:val="44"/>
                        </w:rPr>
                      </w:pPr>
                      <w:r>
                        <w:rPr>
                          <w:color w:val="FFFFFF"/>
                          <w:sz w:val="44"/>
                        </w:rPr>
                        <w:t>ÇAĞ</w:t>
                      </w:r>
                      <w:r w:rsidR="00EB1B33">
                        <w:rPr>
                          <w:color w:val="FFFFFF"/>
                          <w:spacing w:val="-14"/>
                          <w:sz w:val="44"/>
                        </w:rPr>
                        <w:t xml:space="preserve"> </w:t>
                      </w:r>
                      <w:r w:rsidR="00EB1B33">
                        <w:rPr>
                          <w:color w:val="FFFFFF"/>
                          <w:spacing w:val="-2"/>
                          <w:sz w:val="44"/>
                        </w:rPr>
                        <w:t>BRIEF</w:t>
                      </w:r>
                      <w:r>
                        <w:rPr>
                          <w:color w:val="FFFFFF"/>
                          <w:sz w:val="44"/>
                        </w:rPr>
                        <w:tab/>
                        <w:t>2026</w:t>
                      </w:r>
                      <w:r w:rsidR="00EB1B33">
                        <w:rPr>
                          <w:color w:val="FFFFFF"/>
                          <w:spacing w:val="42"/>
                          <w:w w:val="150"/>
                          <w:sz w:val="44"/>
                        </w:rPr>
                        <w:t xml:space="preserve"> </w:t>
                      </w:r>
                      <w:r w:rsidR="00EB1B33">
                        <w:rPr>
                          <w:color w:val="FFFFFF"/>
                          <w:sz w:val="44"/>
                        </w:rPr>
                        <w:t>|</w:t>
                      </w:r>
                      <w:r w:rsidR="00EB1B33">
                        <w:rPr>
                          <w:color w:val="FFFFFF"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44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6A4948" w14:textId="77777777" w:rsidR="005E0F67" w:rsidRDefault="00D077D0" w:rsidP="00C41CAC">
      <w:pPr>
        <w:pStyle w:val="BodyText"/>
        <w:spacing w:before="124" w:line="271" w:lineRule="auto"/>
        <w:ind w:right="25"/>
        <w:jc w:val="both"/>
        <w:rPr>
          <w:b/>
          <w:bCs/>
          <w:color w:val="0D0D0D" w:themeColor="text1" w:themeTint="F2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C79DEC" wp14:editId="706B0FDE">
                <wp:simplePos x="0" y="0"/>
                <wp:positionH relativeFrom="column">
                  <wp:align>right</wp:align>
                </wp:positionH>
                <wp:positionV relativeFrom="paragraph">
                  <wp:posOffset>136162</wp:posOffset>
                </wp:positionV>
                <wp:extent cx="3417570" cy="9100185"/>
                <wp:effectExtent l="0" t="0" r="0" b="571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7570" cy="91004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98F81" w14:textId="4F5C2C96" w:rsidR="00D077D0" w:rsidRDefault="00E01A98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548DD4" w:themeColor="text2" w:themeTint="99"/>
                                <w:sz w:val="26"/>
                                <w:szCs w:val="26"/>
                              </w:rPr>
                              <w:t>Why this is political economy</w:t>
                            </w:r>
                          </w:p>
                          <w:p w14:paraId="79503F3B" w14:textId="77777777" w:rsidR="00E01A98" w:rsidRDefault="00E01A98" w:rsidP="00E01A98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</w:p>
                          <w:p w14:paraId="0521B233" w14:textId="22B4488E" w:rsidR="00E01A98" w:rsidRPr="00E01A98" w:rsidRDefault="00E01A98" w:rsidP="00E01A98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Football is an economic market that exists within the public sector and within communities. Large clubs want to</w:t>
                            </w:r>
                          </w:p>
                          <w:p w14:paraId="245FC1EE" w14:textId="78BE0A51" w:rsidR="00D077D0" w:rsidRDefault="00E01A98" w:rsidP="00E01A98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proofErr w:type="gramStart"/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earn</w:t>
                            </w:r>
                            <w:proofErr w:type="gramEnd"/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 xml:space="preserve"> revenue through broadcasting </w:t>
                            </w:r>
                            <w:proofErr w:type="spellStart"/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andsponsorship</w:t>
                            </w:r>
                            <w:proofErr w:type="spellEnd"/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; UEFA also controls</w:t>
                            </w:r>
                          </w:p>
                          <w:p w14:paraId="3EC5C699" w14:textId="77777777" w:rsidR="00E01A98" w:rsidRDefault="00E01A98" w:rsidP="00E01A98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</w:p>
                          <w:p w14:paraId="4CE6245D" w14:textId="77777777" w:rsidR="00E01A98" w:rsidRPr="003D46C2" w:rsidRDefault="00E01A98" w:rsidP="00E01A98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</w:p>
                          <w:p w14:paraId="6AA64A90" w14:textId="1DBA5FE8" w:rsidR="00D077D0" w:rsidRPr="00D077D0" w:rsidRDefault="00E01A98" w:rsidP="00D077D0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sz w:val="26"/>
                                <w:szCs w:val="26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548DD4" w:themeColor="text2" w:themeTint="99"/>
                                <w:sz w:val="26"/>
                                <w:szCs w:val="26"/>
                              </w:rPr>
                              <w:t>Super League and concentration of economic power</w:t>
                            </w:r>
                          </w:p>
                          <w:p w14:paraId="2DE1364C" w14:textId="77777777" w:rsidR="00E01A98" w:rsidRPr="00E01A98" w:rsidRDefault="00E01A98" w:rsidP="00E01A98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>The ESL was launched by twelve major teams in April 2021. Opposition from the fans and withdrawals of</w:t>
                            </w:r>
                          </w:p>
                          <w:p w14:paraId="33ECDB99" w14:textId="77777777" w:rsidR="00E01A98" w:rsidRPr="00E01A98" w:rsidRDefault="00E01A98" w:rsidP="00E01A98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>the</w:t>
                            </w:r>
                            <w:proofErr w:type="gramEnd"/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 xml:space="preserve"> clubs rapidly jeopardized the project. The privileged access offered in the plan caused fears that the existing</w:t>
                            </w:r>
                          </w:p>
                          <w:p w14:paraId="20B15C31" w14:textId="77777777" w:rsidR="00E01A98" w:rsidRPr="00E01A98" w:rsidRDefault="00E01A98" w:rsidP="00E01A98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>clubs would protect their economic income from the risks of sport. Nonetheless, the current system is not</w:t>
                            </w:r>
                          </w:p>
                          <w:p w14:paraId="4F2A94F3" w14:textId="77777777" w:rsidR="00E01A98" w:rsidRPr="00E01A98" w:rsidRDefault="00E01A98" w:rsidP="00E01A98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>necessarily competitive: there is evidence that football in Europe has been becoming more concentrated,</w:t>
                            </w:r>
                          </w:p>
                          <w:p w14:paraId="2FA0FD41" w14:textId="77777777" w:rsidR="00E01A98" w:rsidRPr="00E01A98" w:rsidRDefault="00E01A98" w:rsidP="00E01A98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>and economic literature shows that different leagues can enhance competitiveness in certain aspects while</w:t>
                            </w:r>
                          </w:p>
                          <w:p w14:paraId="607087D8" w14:textId="77777777" w:rsidR="00E01A98" w:rsidRDefault="00E01A98" w:rsidP="00E01A98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>reducing sport traditions (Beck et al., 2023).</w:t>
                            </w:r>
                            <w:r w:rsidR="003D46C2"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60D7BE68" w14:textId="698D3132" w:rsidR="003D46C2" w:rsidRPr="005E0F67" w:rsidRDefault="003D46C2" w:rsidP="00E01A98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E01A98">
                              <w:rPr>
                                <w:b/>
                                <w:bCs/>
                                <w:color w:val="0D0D0D" w:themeColor="text1" w:themeTint="F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E0F67" w:rsidRPr="005E0F67">
                              <w:rPr>
                                <w:b/>
                                <w:bCs/>
                                <w:color w:val="4F81BD" w:themeColor="accent1"/>
                              </w:rPr>
                              <w:t>Competition law: neither monopoly nor automatic approval</w:t>
                            </w:r>
                          </w:p>
                          <w:p w14:paraId="71C16A0D" w14:textId="77777777" w:rsidR="005E0F67" w:rsidRPr="005E0F67" w:rsidRDefault="003D46C2" w:rsidP="005E0F67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F81BD" w:themeColor="accent1"/>
                              </w:rPr>
                              <w:t xml:space="preserve"> </w:t>
                            </w:r>
                            <w:r w:rsidRPr="003D46C2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 xml:space="preserve"> </w:t>
                            </w:r>
                            <w:r w:rsidR="005E0F67" w:rsidRPr="005E0F67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In case C-333/21, the CJEU determined that football associations operating as regulators together with their commercial</w:t>
                            </w:r>
                          </w:p>
                          <w:p w14:paraId="240E6CE9" w14:textId="77777777" w:rsidR="005E0F67" w:rsidRPr="005E0F67" w:rsidRDefault="005E0F67" w:rsidP="005E0F67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5E0F67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operations are obligated to have objective criteria which should be used when authorizing rival competitions (CJEU,</w:t>
                            </w:r>
                          </w:p>
                          <w:p w14:paraId="5874E79B" w14:textId="77777777" w:rsidR="005E0F67" w:rsidRPr="005E0F67" w:rsidRDefault="005E0F67" w:rsidP="005E0F67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5E0F67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2023). Although this ruling has contested gatekeeping discretion, it did not obligate UEFA to approve the ESL. Such</w:t>
                            </w:r>
                          </w:p>
                          <w:p w14:paraId="17E611A8" w14:textId="77777777" w:rsidR="005E0F67" w:rsidRPr="005E0F67" w:rsidRDefault="005E0F67" w:rsidP="005E0F67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5E0F67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distinction is essential since protection against all competition may secure market dominance of UEFA, whereas elite</w:t>
                            </w:r>
                          </w:p>
                          <w:p w14:paraId="58C035AB" w14:textId="68131AB4" w:rsidR="003D46C2" w:rsidRPr="003D46C2" w:rsidRDefault="005E0F67" w:rsidP="005E0F67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5E0F67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clubs' unrestricted authority may cause inequality</w:t>
                            </w:r>
                            <w:r w:rsidR="003D46C2" w:rsidRPr="003D46C2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6B3EE54F" w14:textId="77777777" w:rsidR="00BA50B4" w:rsidRDefault="00BA50B4" w:rsidP="00D077D0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14:paraId="66EFFBFC" w14:textId="77777777" w:rsidR="00BA50B4" w:rsidRDefault="00BA50B4" w:rsidP="00BA50B4">
                            <w:pPr>
                              <w:pStyle w:val="BodyText"/>
                              <w:spacing w:before="124" w:line="271" w:lineRule="auto"/>
                              <w:ind w:right="25"/>
                              <w:jc w:val="both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5E0F67">
                              <w:rPr>
                                <w:b/>
                                <w:bCs/>
                                <w:color w:val="4F81BD" w:themeColor="accent1"/>
                              </w:rPr>
                              <w:t>Policy Recommendations</w:t>
                            </w:r>
                          </w:p>
                          <w:p w14:paraId="7DE0EC04" w14:textId="77777777" w:rsidR="00BA50B4" w:rsidRPr="00BA50B4" w:rsidRDefault="00BA50B4" w:rsidP="00BA50B4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BA50B4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1. Set up independently reviewed authorization criteria. The UEFA and national associations must specify the criteria,</w:t>
                            </w:r>
                          </w:p>
                          <w:p w14:paraId="38CB591A" w14:textId="77777777" w:rsidR="00BA50B4" w:rsidRPr="00BA50B4" w:rsidRDefault="00BA50B4" w:rsidP="00BA50B4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BA50B4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timetable, justification of the decision, and an appeal procedure. The EU competition bodies should control the</w:t>
                            </w:r>
                          </w:p>
                          <w:p w14:paraId="245863F8" w14:textId="7268DCE2" w:rsidR="00BA50B4" w:rsidRPr="00BA50B4" w:rsidRDefault="00BA50B4" w:rsidP="00BA50B4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BA50B4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application of Articles 101 and 102 TFEU.</w:t>
                            </w:r>
                            <w:r w:rsidRPr="00BA50B4">
                              <w:t xml:space="preserve"> </w:t>
                            </w:r>
                            <w:r w:rsidRPr="00BA50B4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independently reviewed authorization criteria. The UEFA and national associations must specify the criteria,</w:t>
                            </w:r>
                          </w:p>
                          <w:p w14:paraId="6DFFF1B7" w14:textId="77777777" w:rsidR="00BA50B4" w:rsidRPr="00BA50B4" w:rsidRDefault="00BA50B4" w:rsidP="00BA50B4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BA50B4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timetable, justification of the decision, and an appeal procedure. The EU competition bodies should control the</w:t>
                            </w:r>
                          </w:p>
                          <w:p w14:paraId="41D12BD6" w14:textId="0EE8E468" w:rsidR="00D077D0" w:rsidRPr="00BA50B4" w:rsidRDefault="00BA50B4" w:rsidP="00BA50B4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BA50B4">
                              <w:rPr>
                                <w:b/>
                                <w:bCs/>
                                <w:color w:val="0D0D0D" w:themeColor="text1" w:themeTint="F2"/>
                              </w:rPr>
                              <w:t>application of Articles 101 and 102 TFEU.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o:spid="_x0000_s1029" type="#_x0000_t202" style="position:absolute;left:0;text-align:left;margin-left:217.9pt;margin-top:10.7pt;width:269.1pt;height:716.5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haAEwIAAAAEAAAOAAAAZHJzL2Uyb0RvYy54bWysU11v2yAUfZ+0/4B4X/zRZGmtOFXXrtO0&#10;dq3U7QcQjGM04DLAsdNfvwtOsmh7m+YHBL7cc+8597C6HrUiO+G8BFPTYpZTIgyHRpptTb9/u393&#10;SYkPzDRMgRE13QtPr9dv36wGW4kSOlCNcARBjK8GW9MuBFtlmeed0MzPwAqDwRacZgGPbps1jg2I&#10;rlVW5vn7bADXWAdceI9/76YgXSf8thU8PLWtF4GommJvIa0urZu4ZusVq7aO2U7yQxvsH7rQTBos&#10;eoK6Y4GR3sm/oLTkDjy0YcZBZ9C2kovEAdkU+R9sXjpmReKC4nh7ksn/P1j+dffsiGxqWhZLSgzT&#10;OKRHEaQhX/rQ+56UUaPB+gqvvli8HMYPMOKsE19vH4D/8MTAbcfMVtw4B0MnWIM9FjEzO0udcHwE&#10;2QyP0GAp1gdIQGPrdBQQJSGIjrPan+YjxkA4/ryYF8vFEkMcY1dFns8Xy1SDVcd063z4JECTuKmp&#10;QwMkeLZ78CG2w6rjlVjNwL1UKplAGTIg6qJcpISziJYBPaqkrullHr/JNZHlR9Ok5MCkmvZYQJkD&#10;7ch04hzGzZhUvjiquYFmjzo4mCyJTwg3HbhXSga0Y039z545QYn6bFDLq2I+j/5NB6Rd4sGdRzbn&#10;EWY4QtU0UDJtb0Py/ET5BjVvZVIjDmfq5NAy2iyJdHgS0cfn53Tr98Nd/wIAAP//AwBQSwMEFAAG&#10;AAgAAAAhAGHqI8vdAAAACAEAAA8AAABkcnMvZG93bnJldi54bWxMj8FOwzAQRO9I/IO1SL1Ru2mC&#10;SohTIVCvRRSo1Jsbb5OIeB3FbhP+nuVEj6MZzbwp1pPrxAWH0HrSsJgrEEiVty3VGj4/NvcrECEa&#10;sqbzhBp+MMC6vL0pTG79SO942cVacAmF3GhoYuxzKUPVoDNh7nsk9k5+cCayHGppBzNyuetkotSD&#10;dKYlXmhMjy8NVt+7s9PwtT0d9ql6q19d1o9+UpLco9R6djc9P4GIOMX/MPzhMzqUzHT0Z7JBdBr4&#10;SNSQLFIQ7GbLVQLiyLE0SzOQZSGvD5S/AAAA//8DAFBLAQItABQABgAIAAAAIQC2gziS/gAAAOEB&#10;AAATAAAAAAAAAAAAAAAAAAAAAABbQ29udGVudF9UeXBlc10ueG1sUEsBAi0AFAAGAAgAAAAhADj9&#10;If/WAAAAlAEAAAsAAAAAAAAAAAAAAAAALwEAAF9yZWxzLy5yZWxzUEsBAi0AFAAGAAgAAAAhAF/e&#10;FoATAgAAAAQAAA4AAAAAAAAAAAAAAAAALgIAAGRycy9lMm9Eb2MueG1sUEsBAi0AFAAGAAgAAAAh&#10;AGHqI8vdAAAACAEAAA8AAAAAAAAAAAAAAAAAbQQAAGRycy9kb3ducmV2LnhtbFBLBQYAAAAABAAE&#10;APMAAAB3BQAAAAA=&#10;" filled="f" stroked="f">
                <v:textbox>
                  <w:txbxContent>
                    <w:p w14:paraId="1A898F81" w14:textId="4F5C2C96" w:rsidR="00D077D0" w:rsidRDefault="00E01A98">
                      <w:pPr>
                        <w:rPr>
                          <w:b/>
                          <w:bCs/>
                          <w:color w:val="548DD4" w:themeColor="text2" w:themeTint="99"/>
                          <w:sz w:val="26"/>
                          <w:szCs w:val="26"/>
                        </w:rPr>
                      </w:pPr>
                      <w:r w:rsidRPr="00E01A98">
                        <w:rPr>
                          <w:b/>
                          <w:bCs/>
                          <w:color w:val="548DD4" w:themeColor="text2" w:themeTint="99"/>
                          <w:sz w:val="26"/>
                          <w:szCs w:val="26"/>
                        </w:rPr>
                        <w:t>Why this is political economy</w:t>
                      </w:r>
                    </w:p>
                    <w:p w14:paraId="79503F3B" w14:textId="77777777" w:rsidR="00E01A98" w:rsidRDefault="00E01A98" w:rsidP="00E01A98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</w:p>
                    <w:p w14:paraId="0521B233" w14:textId="22B4488E" w:rsidR="00E01A98" w:rsidRPr="00E01A98" w:rsidRDefault="00E01A98" w:rsidP="00E01A98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E01A98">
                        <w:rPr>
                          <w:b/>
                          <w:bCs/>
                          <w:color w:val="0D0D0D" w:themeColor="text1" w:themeTint="F2"/>
                        </w:rPr>
                        <w:t>Football is an economic market that exists within the public sector and within communities. Large clubs want to</w:t>
                      </w:r>
                    </w:p>
                    <w:p w14:paraId="245FC1EE" w14:textId="78BE0A51" w:rsidR="00D077D0" w:rsidRDefault="00E01A98" w:rsidP="00E01A98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proofErr w:type="gramStart"/>
                      <w:r w:rsidRPr="00E01A98">
                        <w:rPr>
                          <w:b/>
                          <w:bCs/>
                          <w:color w:val="0D0D0D" w:themeColor="text1" w:themeTint="F2"/>
                        </w:rPr>
                        <w:t>earn</w:t>
                      </w:r>
                      <w:proofErr w:type="gramEnd"/>
                      <w:r w:rsidRPr="00E01A98">
                        <w:rPr>
                          <w:b/>
                          <w:bCs/>
                          <w:color w:val="0D0D0D" w:themeColor="text1" w:themeTint="F2"/>
                        </w:rPr>
                        <w:t xml:space="preserve"> revenue through broadcasting </w:t>
                      </w:r>
                      <w:proofErr w:type="spellStart"/>
                      <w:r w:rsidRPr="00E01A98">
                        <w:rPr>
                          <w:b/>
                          <w:bCs/>
                          <w:color w:val="0D0D0D" w:themeColor="text1" w:themeTint="F2"/>
                        </w:rPr>
                        <w:t>andsponsorship</w:t>
                      </w:r>
                      <w:proofErr w:type="spellEnd"/>
                      <w:r w:rsidRPr="00E01A98">
                        <w:rPr>
                          <w:b/>
                          <w:bCs/>
                          <w:color w:val="0D0D0D" w:themeColor="text1" w:themeTint="F2"/>
                        </w:rPr>
                        <w:t>; UEFA also controls</w:t>
                      </w:r>
                    </w:p>
                    <w:p w14:paraId="3EC5C699" w14:textId="77777777" w:rsidR="00E01A98" w:rsidRDefault="00E01A98" w:rsidP="00E01A98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</w:p>
                    <w:p w14:paraId="4CE6245D" w14:textId="77777777" w:rsidR="00E01A98" w:rsidRPr="003D46C2" w:rsidRDefault="00E01A98" w:rsidP="00E01A98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</w:p>
                    <w:p w14:paraId="6AA64A90" w14:textId="1DBA5FE8" w:rsidR="00D077D0" w:rsidRPr="00D077D0" w:rsidRDefault="00E01A98" w:rsidP="00D077D0">
                      <w:pPr>
                        <w:rPr>
                          <w:b/>
                          <w:bCs/>
                          <w:color w:val="548DD4" w:themeColor="text2" w:themeTint="99"/>
                          <w:sz w:val="26"/>
                          <w:szCs w:val="26"/>
                        </w:rPr>
                      </w:pPr>
                      <w:r w:rsidRPr="00E01A98">
                        <w:rPr>
                          <w:b/>
                          <w:bCs/>
                          <w:color w:val="548DD4" w:themeColor="text2" w:themeTint="99"/>
                          <w:sz w:val="26"/>
                          <w:szCs w:val="26"/>
                        </w:rPr>
                        <w:t>Super League and concentration of economic power</w:t>
                      </w:r>
                    </w:p>
                    <w:p w14:paraId="2DE1364C" w14:textId="77777777" w:rsidR="00E01A98" w:rsidRPr="00E01A98" w:rsidRDefault="00E01A98" w:rsidP="00E01A98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>The ESL was launched by twelve major teams in April 2021. Opposition from the fans and withdrawals of</w:t>
                      </w:r>
                    </w:p>
                    <w:p w14:paraId="33ECDB99" w14:textId="77777777" w:rsidR="00E01A98" w:rsidRPr="00E01A98" w:rsidRDefault="00E01A98" w:rsidP="00E01A98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</w:pPr>
                      <w:proofErr w:type="gramStart"/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>the</w:t>
                      </w:r>
                      <w:proofErr w:type="gramEnd"/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 xml:space="preserve"> clubs rapidly jeopardized the project. The privileged access offered in the plan caused fears that the existing</w:t>
                      </w:r>
                    </w:p>
                    <w:p w14:paraId="20B15C31" w14:textId="77777777" w:rsidR="00E01A98" w:rsidRPr="00E01A98" w:rsidRDefault="00E01A98" w:rsidP="00E01A98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>clubs would protect their economic income from the risks of sport. Nonetheless, the current system is not</w:t>
                      </w:r>
                    </w:p>
                    <w:p w14:paraId="4F2A94F3" w14:textId="77777777" w:rsidR="00E01A98" w:rsidRPr="00E01A98" w:rsidRDefault="00E01A98" w:rsidP="00E01A98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>necessarily competitive: there is evidence that football in Europe has been becoming more concentrated,</w:t>
                      </w:r>
                    </w:p>
                    <w:p w14:paraId="2FA0FD41" w14:textId="77777777" w:rsidR="00E01A98" w:rsidRPr="00E01A98" w:rsidRDefault="00E01A98" w:rsidP="00E01A98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>and economic literature shows that different leagues can enhance competitiveness in certain aspects while</w:t>
                      </w:r>
                    </w:p>
                    <w:p w14:paraId="607087D8" w14:textId="77777777" w:rsidR="00E01A98" w:rsidRDefault="00E01A98" w:rsidP="00E01A98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>reducing sport traditions (Beck et al., 2023).</w:t>
                      </w:r>
                      <w:r w:rsidR="003D46C2"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60D7BE68" w14:textId="698D3132" w:rsidR="003D46C2" w:rsidRPr="005E0F67" w:rsidRDefault="003D46C2" w:rsidP="00E01A98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E01A98">
                        <w:rPr>
                          <w:b/>
                          <w:bCs/>
                          <w:color w:val="0D0D0D" w:themeColor="text1" w:themeTint="F2"/>
                          <w:sz w:val="22"/>
                          <w:szCs w:val="22"/>
                        </w:rPr>
                        <w:t xml:space="preserve"> </w:t>
                      </w:r>
                      <w:r w:rsidR="005E0F67" w:rsidRPr="005E0F67">
                        <w:rPr>
                          <w:b/>
                          <w:bCs/>
                          <w:color w:val="4F81BD" w:themeColor="accent1"/>
                        </w:rPr>
                        <w:t>Competition law: neither monopoly nor automatic approval</w:t>
                      </w:r>
                    </w:p>
                    <w:p w14:paraId="71C16A0D" w14:textId="77777777" w:rsidR="005E0F67" w:rsidRPr="005E0F67" w:rsidRDefault="003D46C2" w:rsidP="005E0F67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>
                        <w:rPr>
                          <w:b/>
                          <w:bCs/>
                          <w:color w:val="4F81BD" w:themeColor="accent1"/>
                        </w:rPr>
                        <w:t xml:space="preserve"> </w:t>
                      </w:r>
                      <w:r w:rsidRPr="003D46C2">
                        <w:rPr>
                          <w:b/>
                          <w:bCs/>
                          <w:color w:val="0D0D0D" w:themeColor="text1" w:themeTint="F2"/>
                        </w:rPr>
                        <w:t xml:space="preserve"> </w:t>
                      </w:r>
                      <w:r w:rsidR="005E0F67" w:rsidRPr="005E0F67">
                        <w:rPr>
                          <w:b/>
                          <w:bCs/>
                          <w:color w:val="0D0D0D" w:themeColor="text1" w:themeTint="F2"/>
                        </w:rPr>
                        <w:t>In case C-333/21, the CJEU determined that football associations operating as regulators together with their commercial</w:t>
                      </w:r>
                    </w:p>
                    <w:p w14:paraId="240E6CE9" w14:textId="77777777" w:rsidR="005E0F67" w:rsidRPr="005E0F67" w:rsidRDefault="005E0F67" w:rsidP="005E0F67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5E0F67">
                        <w:rPr>
                          <w:b/>
                          <w:bCs/>
                          <w:color w:val="0D0D0D" w:themeColor="text1" w:themeTint="F2"/>
                        </w:rPr>
                        <w:t>operations are obligated to have objective criteria which should be used when authorizing rival competitions (CJEU,</w:t>
                      </w:r>
                    </w:p>
                    <w:p w14:paraId="5874E79B" w14:textId="77777777" w:rsidR="005E0F67" w:rsidRPr="005E0F67" w:rsidRDefault="005E0F67" w:rsidP="005E0F67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5E0F67">
                        <w:rPr>
                          <w:b/>
                          <w:bCs/>
                          <w:color w:val="0D0D0D" w:themeColor="text1" w:themeTint="F2"/>
                        </w:rPr>
                        <w:t>2023). Although this ruling has contested gatekeeping discretion, it did not obligate UEFA to approve the ESL. Such</w:t>
                      </w:r>
                    </w:p>
                    <w:p w14:paraId="17E611A8" w14:textId="77777777" w:rsidR="005E0F67" w:rsidRPr="005E0F67" w:rsidRDefault="005E0F67" w:rsidP="005E0F67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5E0F67">
                        <w:rPr>
                          <w:b/>
                          <w:bCs/>
                          <w:color w:val="0D0D0D" w:themeColor="text1" w:themeTint="F2"/>
                        </w:rPr>
                        <w:t>distinction is essential since protection against all competition may secure market dominance of UEFA, whereas elite</w:t>
                      </w:r>
                    </w:p>
                    <w:p w14:paraId="58C035AB" w14:textId="68131AB4" w:rsidR="003D46C2" w:rsidRPr="003D46C2" w:rsidRDefault="005E0F67" w:rsidP="005E0F67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5E0F67">
                        <w:rPr>
                          <w:b/>
                          <w:bCs/>
                          <w:color w:val="0D0D0D" w:themeColor="text1" w:themeTint="F2"/>
                        </w:rPr>
                        <w:t>clubs' unrestricted authority may cause inequality</w:t>
                      </w:r>
                      <w:r w:rsidR="003D46C2" w:rsidRPr="003D46C2">
                        <w:rPr>
                          <w:b/>
                          <w:bCs/>
                          <w:color w:val="0D0D0D" w:themeColor="text1" w:themeTint="F2"/>
                        </w:rPr>
                        <w:t>.</w:t>
                      </w:r>
                    </w:p>
                    <w:p w14:paraId="6B3EE54F" w14:textId="77777777" w:rsidR="00BA50B4" w:rsidRDefault="00BA50B4" w:rsidP="00D077D0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  <w:p w14:paraId="66EFFBFC" w14:textId="77777777" w:rsidR="00BA50B4" w:rsidRDefault="00BA50B4" w:rsidP="00BA50B4">
                      <w:pPr>
                        <w:pStyle w:val="BodyText"/>
                        <w:spacing w:before="124" w:line="271" w:lineRule="auto"/>
                        <w:ind w:right="25"/>
                        <w:jc w:val="both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5E0F67">
                        <w:rPr>
                          <w:b/>
                          <w:bCs/>
                          <w:color w:val="4F81BD" w:themeColor="accent1"/>
                        </w:rPr>
                        <w:t>Policy Recommendations</w:t>
                      </w:r>
                    </w:p>
                    <w:p w14:paraId="7DE0EC04" w14:textId="77777777" w:rsidR="00BA50B4" w:rsidRPr="00BA50B4" w:rsidRDefault="00BA50B4" w:rsidP="00BA50B4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BA50B4">
                        <w:rPr>
                          <w:b/>
                          <w:bCs/>
                          <w:color w:val="0D0D0D" w:themeColor="text1" w:themeTint="F2"/>
                        </w:rPr>
                        <w:t>1. Set up independently reviewed authorization criteria. The UEFA and national associations must specify the criteria,</w:t>
                      </w:r>
                    </w:p>
                    <w:p w14:paraId="38CB591A" w14:textId="77777777" w:rsidR="00BA50B4" w:rsidRPr="00BA50B4" w:rsidRDefault="00BA50B4" w:rsidP="00BA50B4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BA50B4">
                        <w:rPr>
                          <w:b/>
                          <w:bCs/>
                          <w:color w:val="0D0D0D" w:themeColor="text1" w:themeTint="F2"/>
                        </w:rPr>
                        <w:t>timetable, justification of the decision, and an appeal procedure. The EU competition bodies should control the</w:t>
                      </w:r>
                    </w:p>
                    <w:p w14:paraId="245863F8" w14:textId="7268DCE2" w:rsidR="00BA50B4" w:rsidRPr="00BA50B4" w:rsidRDefault="00BA50B4" w:rsidP="00BA50B4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BA50B4">
                        <w:rPr>
                          <w:b/>
                          <w:bCs/>
                          <w:color w:val="0D0D0D" w:themeColor="text1" w:themeTint="F2"/>
                        </w:rPr>
                        <w:t>application of Articles 101 and 102 TFEU.</w:t>
                      </w:r>
                      <w:r w:rsidRPr="00BA50B4">
                        <w:t xml:space="preserve"> </w:t>
                      </w:r>
                      <w:r w:rsidRPr="00BA50B4">
                        <w:rPr>
                          <w:b/>
                          <w:bCs/>
                          <w:color w:val="0D0D0D" w:themeColor="text1" w:themeTint="F2"/>
                        </w:rPr>
                        <w:t>independently reviewed authorization criteria. The UEFA and national associations must specify the criteria,</w:t>
                      </w:r>
                    </w:p>
                    <w:p w14:paraId="6DFFF1B7" w14:textId="77777777" w:rsidR="00BA50B4" w:rsidRPr="00BA50B4" w:rsidRDefault="00BA50B4" w:rsidP="00BA50B4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BA50B4">
                        <w:rPr>
                          <w:b/>
                          <w:bCs/>
                          <w:color w:val="0D0D0D" w:themeColor="text1" w:themeTint="F2"/>
                        </w:rPr>
                        <w:t>timetable, justification of the decision, and an appeal procedure. The EU competition bodies should control the</w:t>
                      </w:r>
                    </w:p>
                    <w:p w14:paraId="41D12BD6" w14:textId="0EE8E468" w:rsidR="00D077D0" w:rsidRPr="00BA50B4" w:rsidRDefault="00BA50B4" w:rsidP="00BA50B4">
                      <w:pPr>
                        <w:rPr>
                          <w:b/>
                          <w:bCs/>
                          <w:color w:val="0D0D0D" w:themeColor="text1" w:themeTint="F2"/>
                        </w:rPr>
                      </w:pPr>
                      <w:r w:rsidRPr="00BA50B4">
                        <w:rPr>
                          <w:b/>
                          <w:bCs/>
                          <w:color w:val="0D0D0D" w:themeColor="text1" w:themeTint="F2"/>
                        </w:rPr>
                        <w:t>application of Articles 101 and 102 TFEU.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column"/>
      </w:r>
      <w:r w:rsidR="003D46C2">
        <w:rPr>
          <w:b/>
          <w:bCs/>
          <w:color w:val="4F81BD" w:themeColor="accent1"/>
        </w:rPr>
        <w:lastRenderedPageBreak/>
        <w:t xml:space="preserve"> </w:t>
      </w:r>
      <w:r w:rsidR="003D46C2" w:rsidRPr="003D46C2">
        <w:rPr>
          <w:b/>
          <w:bCs/>
          <w:color w:val="0D0D0D" w:themeColor="text1" w:themeTint="F2"/>
          <w:sz w:val="22"/>
          <w:szCs w:val="22"/>
        </w:rPr>
        <w:t xml:space="preserve"> </w:t>
      </w:r>
    </w:p>
    <w:p w14:paraId="18E66FEB" w14:textId="262CACDD" w:rsidR="003D46C2" w:rsidRDefault="003D46C2" w:rsidP="00C41CAC">
      <w:pPr>
        <w:pStyle w:val="BodyText"/>
        <w:spacing w:before="124" w:line="271" w:lineRule="auto"/>
        <w:ind w:right="25"/>
        <w:jc w:val="both"/>
        <w:rPr>
          <w:b/>
          <w:bCs/>
          <w:color w:val="4F81BD" w:themeColor="accent1"/>
        </w:rPr>
      </w:pPr>
    </w:p>
    <w:p w14:paraId="094C5DC9" w14:textId="77777777" w:rsidR="005E0F67" w:rsidRPr="005E0F67" w:rsidRDefault="005E0F67" w:rsidP="005E0F67">
      <w:pPr>
        <w:pStyle w:val="BodyText"/>
        <w:spacing w:before="124" w:line="271" w:lineRule="auto"/>
        <w:ind w:right="25"/>
        <w:jc w:val="both"/>
        <w:rPr>
          <w:b/>
          <w:bCs/>
          <w:sz w:val="22"/>
          <w:szCs w:val="22"/>
        </w:rPr>
      </w:pPr>
      <w:r w:rsidRPr="005E0F67">
        <w:rPr>
          <w:b/>
          <w:bCs/>
          <w:sz w:val="22"/>
          <w:szCs w:val="22"/>
        </w:rPr>
        <w:t>2. Re-shape the distribution of income from European competitions. UEFA should announce a formula that is</w:t>
      </w:r>
    </w:p>
    <w:p w14:paraId="51B6ABAE" w14:textId="77777777" w:rsidR="005E0F67" w:rsidRPr="005E0F67" w:rsidRDefault="005E0F67" w:rsidP="005E0F67">
      <w:pPr>
        <w:pStyle w:val="BodyText"/>
        <w:spacing w:before="124" w:line="271" w:lineRule="auto"/>
        <w:ind w:right="25"/>
        <w:jc w:val="both"/>
        <w:rPr>
          <w:b/>
          <w:bCs/>
          <w:sz w:val="22"/>
          <w:szCs w:val="22"/>
        </w:rPr>
      </w:pPr>
      <w:r w:rsidRPr="005E0F67">
        <w:rPr>
          <w:b/>
          <w:bCs/>
          <w:sz w:val="22"/>
          <w:szCs w:val="22"/>
        </w:rPr>
        <w:t>transparent for solidarity and that progressively raises funds for small clubs, their youth academies and domestic</w:t>
      </w:r>
    </w:p>
    <w:p w14:paraId="67E50CDF" w14:textId="77777777" w:rsidR="005E0F67" w:rsidRPr="005E0F67" w:rsidRDefault="005E0F67" w:rsidP="005E0F67">
      <w:pPr>
        <w:pStyle w:val="BodyText"/>
        <w:spacing w:before="124" w:line="271" w:lineRule="auto"/>
        <w:ind w:right="25"/>
        <w:jc w:val="both"/>
        <w:rPr>
          <w:b/>
          <w:bCs/>
          <w:sz w:val="22"/>
          <w:szCs w:val="22"/>
        </w:rPr>
      </w:pPr>
      <w:r w:rsidRPr="005E0F67">
        <w:rPr>
          <w:b/>
          <w:bCs/>
          <w:sz w:val="22"/>
          <w:szCs w:val="22"/>
        </w:rPr>
        <w:t>leagues.</w:t>
      </w:r>
    </w:p>
    <w:p w14:paraId="592BBEF8" w14:textId="77777777" w:rsidR="005E0F67" w:rsidRPr="005E0F67" w:rsidRDefault="005E0F67" w:rsidP="005E0F67">
      <w:pPr>
        <w:pStyle w:val="BodyText"/>
        <w:spacing w:before="124" w:line="271" w:lineRule="auto"/>
        <w:ind w:right="25"/>
        <w:jc w:val="both"/>
        <w:rPr>
          <w:b/>
          <w:bCs/>
          <w:sz w:val="22"/>
          <w:szCs w:val="22"/>
        </w:rPr>
      </w:pPr>
      <w:r w:rsidRPr="005E0F67">
        <w:rPr>
          <w:b/>
          <w:bCs/>
          <w:sz w:val="22"/>
          <w:szCs w:val="22"/>
        </w:rPr>
        <w:t>3. Secure fans’ participation in decision making processes. Significant changes in European competitions format</w:t>
      </w:r>
    </w:p>
    <w:p w14:paraId="657076B6" w14:textId="7E4A28E0" w:rsidR="005E0F67" w:rsidRPr="005E0F67" w:rsidRDefault="005E0F67" w:rsidP="005E0F67">
      <w:pPr>
        <w:pStyle w:val="BodyText"/>
        <w:spacing w:before="124" w:line="271" w:lineRule="auto"/>
        <w:ind w:right="25"/>
        <w:jc w:val="both"/>
        <w:rPr>
          <w:b/>
          <w:bCs/>
          <w:sz w:val="22"/>
          <w:szCs w:val="22"/>
        </w:rPr>
      </w:pPr>
      <w:r w:rsidRPr="005E0F67">
        <w:rPr>
          <w:b/>
          <w:bCs/>
          <w:sz w:val="22"/>
          <w:szCs w:val="22"/>
        </w:rPr>
        <w:t>require consultation with fans’ representatives and with players and domestic leagues.</w:t>
      </w:r>
    </w:p>
    <w:p w14:paraId="195B3362" w14:textId="60D670FB" w:rsidR="00C74DF8" w:rsidRPr="003D46C2" w:rsidRDefault="00D077D0" w:rsidP="003D46C2">
      <w:pPr>
        <w:pStyle w:val="BodyText"/>
        <w:spacing w:before="124" w:line="271" w:lineRule="auto"/>
        <w:ind w:right="25"/>
        <w:jc w:val="both"/>
        <w:rPr>
          <w:color w:val="0D0D0D" w:themeColor="text1" w:themeTint="F2"/>
          <w:sz w:val="22"/>
          <w:szCs w:val="22"/>
        </w:rPr>
      </w:pPr>
      <w:r w:rsidRPr="003D46C2">
        <w:rPr>
          <w:color w:val="0D0D0D" w:themeColor="text1" w:themeTint="F2"/>
          <w:sz w:val="22"/>
          <w:szCs w:val="22"/>
        </w:rPr>
        <w:t xml:space="preserve">  </w:t>
      </w:r>
    </w:p>
    <w:p w14:paraId="4E263233" w14:textId="77777777" w:rsidR="005E0F67" w:rsidRDefault="005E0F67" w:rsidP="00C41CAC">
      <w:pPr>
        <w:pStyle w:val="BodyText"/>
        <w:spacing w:before="124" w:line="271" w:lineRule="auto"/>
        <w:ind w:right="25"/>
        <w:jc w:val="both"/>
        <w:rPr>
          <w:b/>
          <w:bCs/>
          <w:color w:val="4F81BD" w:themeColor="accent1"/>
        </w:rPr>
      </w:pPr>
      <w:r w:rsidRPr="005E0F67">
        <w:rPr>
          <w:b/>
          <w:bCs/>
          <w:color w:val="4F81BD" w:themeColor="accent1"/>
        </w:rPr>
        <w:t>Implementation and accountability</w:t>
      </w:r>
    </w:p>
    <w:p w14:paraId="6C5DCDDF" w14:textId="77777777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 w:rsidRPr="005E0F67">
        <w:rPr>
          <w:b/>
          <w:bCs/>
          <w:color w:val="0D0D0D" w:themeColor="text1" w:themeTint="F2"/>
          <w:sz w:val="22"/>
          <w:szCs w:val="22"/>
        </w:rPr>
        <w:t>The European Commission should coordinate a review from 2027 to 2029 with UEFA, national leagues,</w:t>
      </w:r>
    </w:p>
    <w:p w14:paraId="65AFD946" w14:textId="77777777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 w:rsidRPr="005E0F67">
        <w:rPr>
          <w:b/>
          <w:bCs/>
          <w:color w:val="0D0D0D" w:themeColor="text1" w:themeTint="F2"/>
          <w:sz w:val="22"/>
          <w:szCs w:val="22"/>
        </w:rPr>
        <w:t>associations of clubs, players’ trade unions and supporters’ groups. Within one year, the regulators should conduct</w:t>
      </w:r>
    </w:p>
    <w:p w14:paraId="262F369C" w14:textId="77777777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 w:rsidRPr="005E0F67">
        <w:rPr>
          <w:b/>
          <w:bCs/>
          <w:color w:val="0D0D0D" w:themeColor="text1" w:themeTint="F2"/>
          <w:sz w:val="22"/>
          <w:szCs w:val="22"/>
        </w:rPr>
        <w:t>a competition-</w:t>
      </w:r>
      <w:proofErr w:type="spellStart"/>
      <w:r w:rsidRPr="005E0F67">
        <w:rPr>
          <w:b/>
          <w:bCs/>
          <w:color w:val="0D0D0D" w:themeColor="text1" w:themeTint="F2"/>
          <w:sz w:val="22"/>
          <w:szCs w:val="22"/>
        </w:rPr>
        <w:t>authorisation</w:t>
      </w:r>
      <w:proofErr w:type="spellEnd"/>
      <w:r w:rsidRPr="005E0F67">
        <w:rPr>
          <w:b/>
          <w:bCs/>
          <w:color w:val="0D0D0D" w:themeColor="text1" w:themeTint="F2"/>
          <w:sz w:val="22"/>
          <w:szCs w:val="22"/>
        </w:rPr>
        <w:t xml:space="preserve"> audit and set up an appeal mechanism. Then UEFA will need to report annually on</w:t>
      </w:r>
    </w:p>
    <w:p w14:paraId="7C4ED2E3" w14:textId="77777777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 w:rsidRPr="005E0F67">
        <w:rPr>
          <w:b/>
          <w:bCs/>
          <w:color w:val="0D0D0D" w:themeColor="text1" w:themeTint="F2"/>
          <w:sz w:val="22"/>
          <w:szCs w:val="22"/>
        </w:rPr>
        <w:t>the distribution of competition revenues, qualification mobility and fan involvement. The Commission should</w:t>
      </w:r>
    </w:p>
    <w:p w14:paraId="6CD9F7CE" w14:textId="01049A58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 w:rsidRPr="005E0F67">
        <w:rPr>
          <w:b/>
          <w:bCs/>
          <w:color w:val="0D0D0D" w:themeColor="text1" w:themeTint="F2"/>
          <w:sz w:val="22"/>
          <w:szCs w:val="22"/>
        </w:rPr>
        <w:t>evaluate the effectiveness of the self-regulation prior to any other EU legislation</w:t>
      </w:r>
      <w:r>
        <w:rPr>
          <w:b/>
          <w:bCs/>
          <w:color w:val="0D0D0D" w:themeColor="text1" w:themeTint="F2"/>
          <w:sz w:val="22"/>
          <w:szCs w:val="22"/>
        </w:rPr>
        <w:t>.</w:t>
      </w:r>
    </w:p>
    <w:p w14:paraId="2FB9CA62" w14:textId="77777777" w:rsidR="005E0F67" w:rsidRDefault="005E0F67" w:rsidP="003D46C2">
      <w:pPr>
        <w:pStyle w:val="BodyText"/>
        <w:spacing w:line="273" w:lineRule="auto"/>
        <w:jc w:val="both"/>
        <w:rPr>
          <w:b/>
          <w:bCs/>
          <w:color w:val="4F81BD" w:themeColor="accent1"/>
          <w:sz w:val="24"/>
          <w:szCs w:val="24"/>
        </w:rPr>
      </w:pPr>
      <w:r w:rsidRPr="005E0F67">
        <w:rPr>
          <w:b/>
          <w:bCs/>
          <w:color w:val="4F81BD" w:themeColor="accent1"/>
          <w:sz w:val="24"/>
          <w:szCs w:val="24"/>
        </w:rPr>
        <w:t>Proposed indicator</w:t>
      </w:r>
      <w:r>
        <w:rPr>
          <w:b/>
          <w:bCs/>
          <w:color w:val="4F81BD" w:themeColor="accent1"/>
          <w:sz w:val="24"/>
          <w:szCs w:val="24"/>
        </w:rPr>
        <w:t>s</w:t>
      </w:r>
    </w:p>
    <w:p w14:paraId="696D74DF" w14:textId="3D7A7CEC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t>-</w:t>
      </w:r>
      <w:r w:rsidRPr="005E0F67">
        <w:rPr>
          <w:b/>
          <w:bCs/>
          <w:color w:val="0D0D0D" w:themeColor="text1" w:themeTint="F2"/>
          <w:sz w:val="22"/>
          <w:szCs w:val="22"/>
        </w:rPr>
        <w:t>Distribution of European competition revenues outside the participating elite clubs and changes in revenue</w:t>
      </w:r>
    </w:p>
    <w:p w14:paraId="2729901D" w14:textId="77777777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 w:rsidRPr="005E0F67">
        <w:rPr>
          <w:b/>
          <w:bCs/>
          <w:color w:val="0D0D0D" w:themeColor="text1" w:themeTint="F2"/>
          <w:sz w:val="22"/>
          <w:szCs w:val="22"/>
        </w:rPr>
        <w:t>gaps in domestic leagues;</w:t>
      </w:r>
    </w:p>
    <w:p w14:paraId="008A811B" w14:textId="7E957BE5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t>-</w:t>
      </w:r>
      <w:r w:rsidRPr="005E0F67">
        <w:rPr>
          <w:b/>
          <w:bCs/>
          <w:color w:val="0D0D0D" w:themeColor="text1" w:themeTint="F2"/>
          <w:sz w:val="22"/>
          <w:szCs w:val="22"/>
        </w:rPr>
        <w:t>Number of applications to organize new competitions, their processing duration and outcome of appeals;</w:t>
      </w:r>
    </w:p>
    <w:p w14:paraId="5C8790BE" w14:textId="2743B80E" w:rsidR="005E0F67" w:rsidRPr="005E0F67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t>-</w:t>
      </w:r>
      <w:r w:rsidRPr="005E0F67">
        <w:rPr>
          <w:b/>
          <w:bCs/>
          <w:color w:val="0D0D0D" w:themeColor="text1" w:themeTint="F2"/>
          <w:sz w:val="22"/>
          <w:szCs w:val="22"/>
        </w:rPr>
        <w:t>Qualification diversity, repeat participation and competitive balance changes during seasons;</w:t>
      </w:r>
    </w:p>
    <w:p w14:paraId="6684C98F" w14:textId="4A7283EA" w:rsidR="003D46C2" w:rsidRPr="003D46C2" w:rsidRDefault="005E0F67" w:rsidP="005E0F67">
      <w:pPr>
        <w:pStyle w:val="BodyText"/>
        <w:spacing w:line="273" w:lineRule="auto"/>
        <w:jc w:val="both"/>
        <w:rPr>
          <w:b/>
          <w:bCs/>
          <w:color w:val="0D0D0D" w:themeColor="text1" w:themeTint="F2"/>
          <w:sz w:val="22"/>
          <w:szCs w:val="22"/>
        </w:rPr>
      </w:pPr>
      <w:r>
        <w:rPr>
          <w:b/>
          <w:bCs/>
          <w:color w:val="0D0D0D" w:themeColor="text1" w:themeTint="F2"/>
          <w:sz w:val="22"/>
          <w:szCs w:val="22"/>
        </w:rPr>
        <w:t>-</w:t>
      </w:r>
      <w:r w:rsidRPr="005E0F67">
        <w:rPr>
          <w:b/>
          <w:bCs/>
          <w:color w:val="0D0D0D" w:themeColor="text1" w:themeTint="F2"/>
          <w:sz w:val="22"/>
          <w:szCs w:val="22"/>
        </w:rPr>
        <w:t>Proportion of major governance decisions made with public consultation of the supporters and players.</w:t>
      </w:r>
    </w:p>
    <w:p w14:paraId="262E7D72" w14:textId="77777777" w:rsidR="00BA50B4" w:rsidRDefault="00BA50B4">
      <w:pPr>
        <w:pStyle w:val="BodyText"/>
        <w:spacing w:line="273" w:lineRule="auto"/>
        <w:jc w:val="both"/>
      </w:pPr>
    </w:p>
    <w:p w14:paraId="1B6D9F86" w14:textId="77777777" w:rsidR="00BA50B4" w:rsidRPr="00BA50B4" w:rsidRDefault="00BA50B4">
      <w:pPr>
        <w:pStyle w:val="BodyText"/>
        <w:spacing w:line="273" w:lineRule="auto"/>
        <w:jc w:val="both"/>
        <w:rPr>
          <w:b/>
          <w:bCs/>
          <w:color w:val="4F81BD" w:themeColor="accent1"/>
        </w:rPr>
      </w:pPr>
      <w:r w:rsidRPr="00BA50B4">
        <w:rPr>
          <w:b/>
          <w:bCs/>
          <w:color w:val="4F81BD" w:themeColor="accent1"/>
        </w:rPr>
        <w:t>Conclusion</w:t>
      </w:r>
    </w:p>
    <w:p w14:paraId="0C529D9A" w14:textId="77777777" w:rsidR="00BA50B4" w:rsidRPr="00BA50B4" w:rsidRDefault="00BA50B4" w:rsidP="00BA50B4">
      <w:pPr>
        <w:pStyle w:val="BodyText"/>
        <w:spacing w:line="273" w:lineRule="auto"/>
        <w:jc w:val="both"/>
        <w:rPr>
          <w:b/>
          <w:bCs/>
          <w:sz w:val="22"/>
          <w:szCs w:val="22"/>
        </w:rPr>
      </w:pPr>
      <w:r w:rsidRPr="00BA50B4">
        <w:rPr>
          <w:b/>
          <w:bCs/>
          <w:sz w:val="22"/>
          <w:szCs w:val="22"/>
        </w:rPr>
        <w:t>The debate on the European Super League went beyond the issue of being traditional versus innovative. The debate</w:t>
      </w:r>
    </w:p>
    <w:p w14:paraId="5874DD88" w14:textId="77777777" w:rsidR="00BA50B4" w:rsidRPr="00BA50B4" w:rsidRDefault="00BA50B4" w:rsidP="00BA50B4">
      <w:pPr>
        <w:pStyle w:val="BodyText"/>
        <w:spacing w:line="273" w:lineRule="auto"/>
        <w:jc w:val="both"/>
        <w:rPr>
          <w:b/>
          <w:bCs/>
          <w:sz w:val="22"/>
          <w:szCs w:val="22"/>
        </w:rPr>
      </w:pPr>
      <w:r w:rsidRPr="00BA50B4">
        <w:rPr>
          <w:b/>
          <w:bCs/>
          <w:sz w:val="22"/>
          <w:szCs w:val="22"/>
        </w:rPr>
        <w:t>was an indication of competition over access to markets, the power of private business enterprises, and the public utility of</w:t>
      </w:r>
    </w:p>
    <w:p w14:paraId="16639A47" w14:textId="77777777" w:rsidR="00BA50B4" w:rsidRPr="00BA50B4" w:rsidRDefault="00BA50B4" w:rsidP="00BA50B4">
      <w:pPr>
        <w:pStyle w:val="BodyText"/>
        <w:spacing w:line="273" w:lineRule="auto"/>
        <w:jc w:val="both"/>
        <w:rPr>
          <w:b/>
          <w:bCs/>
          <w:sz w:val="22"/>
          <w:szCs w:val="22"/>
        </w:rPr>
      </w:pPr>
      <w:r w:rsidRPr="00BA50B4">
        <w:rPr>
          <w:b/>
          <w:bCs/>
          <w:sz w:val="22"/>
          <w:szCs w:val="22"/>
        </w:rPr>
        <w:t>football. Although the initial breakaway project had collapsed by 2026, the lessons learned from the debate are still</w:t>
      </w:r>
    </w:p>
    <w:p w14:paraId="0622508A" w14:textId="77777777" w:rsidR="00BA50B4" w:rsidRPr="00BA50B4" w:rsidRDefault="00BA50B4" w:rsidP="00BA50B4">
      <w:pPr>
        <w:pStyle w:val="BodyText"/>
        <w:spacing w:line="273" w:lineRule="auto"/>
        <w:jc w:val="both"/>
        <w:rPr>
          <w:b/>
          <w:bCs/>
          <w:sz w:val="22"/>
          <w:szCs w:val="22"/>
        </w:rPr>
      </w:pPr>
      <w:r w:rsidRPr="00BA50B4">
        <w:rPr>
          <w:b/>
          <w:bCs/>
          <w:sz w:val="22"/>
          <w:szCs w:val="22"/>
        </w:rPr>
        <w:t xml:space="preserve">important. The EU needs to safeguard the right to compete as well as access to the sporting ladder through </w:t>
      </w:r>
      <w:r w:rsidRPr="00BA50B4">
        <w:rPr>
          <w:b/>
          <w:bCs/>
          <w:sz w:val="22"/>
          <w:szCs w:val="22"/>
        </w:rPr>
        <w:lastRenderedPageBreak/>
        <w:t>sound</w:t>
      </w:r>
    </w:p>
    <w:p w14:paraId="595B731D" w14:textId="6D788131" w:rsidR="00BA50B4" w:rsidRPr="00BA50B4" w:rsidRDefault="00BA50B4" w:rsidP="00BA50B4">
      <w:pPr>
        <w:pStyle w:val="BodyText"/>
        <w:spacing w:line="273" w:lineRule="auto"/>
        <w:jc w:val="both"/>
        <w:rPr>
          <w:b/>
          <w:bCs/>
          <w:sz w:val="22"/>
          <w:szCs w:val="22"/>
        </w:rPr>
        <w:sectPr w:rsidR="00BA50B4" w:rsidRPr="00BA50B4">
          <w:footerReference w:type="default" r:id="rId9"/>
          <w:pgSz w:w="11910" w:h="16840"/>
          <w:pgMar w:top="560" w:right="425" w:bottom="740" w:left="425" w:header="0" w:footer="517" w:gutter="0"/>
          <w:pgNumType w:start="2"/>
          <w:cols w:num="2" w:space="708" w:equalWidth="0">
            <w:col w:w="5384" w:space="310"/>
            <w:col w:w="5366"/>
          </w:cols>
        </w:sectPr>
      </w:pPr>
      <w:r w:rsidRPr="00BA50B4">
        <w:rPr>
          <w:b/>
          <w:bCs/>
          <w:sz w:val="22"/>
          <w:szCs w:val="22"/>
        </w:rPr>
        <w:t>regulation and governance.</w:t>
      </w:r>
    </w:p>
    <w:p w14:paraId="3D21FA3F" w14:textId="15D4C837" w:rsidR="002239EF" w:rsidRDefault="00EB1B33" w:rsidP="00C41CAC">
      <w:pPr>
        <w:ind w:left="15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4B07C51" wp14:editId="1F11AFF0">
                <wp:extent cx="3334385" cy="618490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4385" cy="618490"/>
                        </a:xfrm>
                        <a:prstGeom prst="rect">
                          <a:avLst/>
                        </a:prstGeom>
                        <a:solidFill>
                          <a:srgbClr val="073779"/>
                        </a:solidFill>
                      </wps:spPr>
                      <wps:txbx>
                        <w:txbxContent>
                          <w:p w14:paraId="428F2B63" w14:textId="5A4A2EEE" w:rsidR="002239EF" w:rsidRDefault="00A66165">
                            <w:pPr>
                              <w:tabs>
                                <w:tab w:val="left" w:pos="3432"/>
                              </w:tabs>
                              <w:spacing w:before="236"/>
                              <w:ind w:left="143"/>
                              <w:rPr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color w:val="FFFFFF"/>
                                <w:sz w:val="44"/>
                              </w:rPr>
                              <w:t>ÇAĞ</w:t>
                            </w:r>
                            <w:bookmarkStart w:id="0" w:name="_GoBack"/>
                            <w:bookmarkEnd w:id="0"/>
                            <w:r w:rsidR="00EB1B33">
                              <w:rPr>
                                <w:color w:val="FFFFFF"/>
                                <w:spacing w:val="-14"/>
                                <w:sz w:val="44"/>
                              </w:rPr>
                              <w:t xml:space="preserve"> </w:t>
                            </w:r>
                            <w:r w:rsidR="00EB1B33">
                              <w:rPr>
                                <w:color w:val="FFFFFF"/>
                                <w:spacing w:val="-2"/>
                                <w:sz w:val="44"/>
                              </w:rPr>
                              <w:t>BRIEF</w:t>
                            </w:r>
                            <w:r>
                              <w:rPr>
                                <w:color w:val="FFFFFF"/>
                                <w:sz w:val="44"/>
                              </w:rPr>
                              <w:tab/>
                              <w:t>2026</w:t>
                            </w:r>
                            <w:r w:rsidR="00EB1B33">
                              <w:rPr>
                                <w:color w:val="FFFFFF"/>
                                <w:spacing w:val="42"/>
                                <w:w w:val="150"/>
                                <w:sz w:val="44"/>
                              </w:rPr>
                              <w:t xml:space="preserve"> </w:t>
                            </w:r>
                            <w:r w:rsidR="00EB1B33">
                              <w:rPr>
                                <w:color w:val="FFFFFF"/>
                                <w:sz w:val="44"/>
                              </w:rPr>
                              <w:t>|</w:t>
                            </w:r>
                            <w:r w:rsidR="00EB1B33">
                              <w:rPr>
                                <w:color w:val="FFFFFF"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4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3" o:spid="_x0000_s1030" type="#_x0000_t202" style="width:262.55pt;height:4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aavywEAAHwDAAAOAAAAZHJzL2Uyb0RvYy54bWysU8tu2zAQvBfoPxC817IjN3YEy0GbIEWB&#10;oCmQ5AMoirSJUlyWS1vy33dJW47R3opcKD5md2dmV6vbobNsrwIacDWfTaacKSehNW5T89eXh09L&#10;zjAK1woLTtX8oJDfrj9+WPW+UlewBduqwCiJw6r3Nd/G6KuiQLlVncAJeOXoUUPoRKRj2BRtED1l&#10;72xxNZ1eFz2E1geQCpFu74+PfJ3za61kfNIaVWS25sQt5jXktUlrsV6JahOE3xp5oiH+g0UnjKOi&#10;51T3Igq2C+afVJ2RARB0nEjoCtDaSJU1kJrZ9C81z1vhVdZC5qA/24Tvl1b+2P8MzLTUu5IzJzrq&#10;0YsaYgMDoxuyp/dYEerZEy4OX2EgaJaK/hHkLyRIcYE5BiChkx2DDl36klBGgdSBw9l1qsIkXZZl&#10;OS+XnzmT9HY9W85vcluKt2gfMH5T0LG0qXmgrmYGYv+IMdUX1QhJxRCsaR+MtfkQNs2dDWwv0gQs&#10;ysXiJqmikAtYFnDknKTEoRmyJ/PRgAbaA+nvaVBqjr93IijO7HdHnUhTNW7CuGnGTYj2DvLsJTIO&#10;vuwiaJNJp0rHvCcHqcWZ2Gkc0wxdnjPq7adZ/wEAAP//AwBQSwMEFAAGAAgAAAAhAEoIhffcAAAA&#10;BAEAAA8AAABkcnMvZG93bnJldi54bWxMj7FOw0AQRHsk/uG0SHTknCiBxPgcISIqioBJQ7fxLbbB&#10;t2f5NrHh63OhgWal0Yxm3mbr0bXqSH1oPBuYThJQxKW3DVcGdm9PN0tQQZAttp7JwDcFWOeXFxmm&#10;1g/8SsdCKhVLOKRooBbpUq1DWZPDMPEdcfQ+fO9QouwrbXscYrlr9SxJbrXDhuNCjR091lR+FQdn&#10;QJY83z5vh5+yeN98FpudfRG/Mub6any4ByU0yl8YzvgRHfLItPcHtkG1BuIj8nujt5gtpqD2BlZ3&#10;c9B5pv/D5ycAAAD//wMAUEsBAi0AFAAGAAgAAAAhALaDOJL+AAAA4QEAABMAAAAAAAAAAAAAAAAA&#10;AAAAAFtDb250ZW50X1R5cGVzXS54bWxQSwECLQAUAAYACAAAACEAOP0h/9YAAACUAQAACwAAAAAA&#10;AAAAAAAAAAAvAQAAX3JlbHMvLnJlbHNQSwECLQAUAAYACAAAACEA02mmr8sBAAB8AwAADgAAAAAA&#10;AAAAAAAAAAAuAgAAZHJzL2Uyb0RvYy54bWxQSwECLQAUAAYACAAAACEASgiF99wAAAAEAQAADwAA&#10;AAAAAAAAAAAAAAAlBAAAZHJzL2Rvd25yZXYueG1sUEsFBgAAAAAEAAQA8wAAAC4FAAAAAA==&#10;" fillcolor="#073779" stroked="f">
                <v:path arrowok="t"/>
                <v:textbox inset="0,0,0,0">
                  <w:txbxContent>
                    <w:p w14:paraId="428F2B63" w14:textId="5A4A2EEE" w:rsidR="002239EF" w:rsidRDefault="00A66165">
                      <w:pPr>
                        <w:tabs>
                          <w:tab w:val="left" w:pos="3432"/>
                        </w:tabs>
                        <w:spacing w:before="236"/>
                        <w:ind w:left="143"/>
                        <w:rPr>
                          <w:color w:val="000000"/>
                          <w:sz w:val="44"/>
                        </w:rPr>
                      </w:pPr>
                      <w:r>
                        <w:rPr>
                          <w:color w:val="FFFFFF"/>
                          <w:sz w:val="44"/>
                        </w:rPr>
                        <w:t>ÇAĞ</w:t>
                      </w:r>
                      <w:bookmarkStart w:id="1" w:name="_GoBack"/>
                      <w:bookmarkEnd w:id="1"/>
                      <w:r w:rsidR="00EB1B33">
                        <w:rPr>
                          <w:color w:val="FFFFFF"/>
                          <w:spacing w:val="-14"/>
                          <w:sz w:val="44"/>
                        </w:rPr>
                        <w:t xml:space="preserve"> </w:t>
                      </w:r>
                      <w:r w:rsidR="00EB1B33">
                        <w:rPr>
                          <w:color w:val="FFFFFF"/>
                          <w:spacing w:val="-2"/>
                          <w:sz w:val="44"/>
                        </w:rPr>
                        <w:t>BRIEF</w:t>
                      </w:r>
                      <w:r>
                        <w:rPr>
                          <w:color w:val="FFFFFF"/>
                          <w:sz w:val="44"/>
                        </w:rPr>
                        <w:tab/>
                        <w:t>2026</w:t>
                      </w:r>
                      <w:r w:rsidR="00EB1B33">
                        <w:rPr>
                          <w:color w:val="FFFFFF"/>
                          <w:spacing w:val="42"/>
                          <w:w w:val="150"/>
                          <w:sz w:val="44"/>
                        </w:rPr>
                        <w:t xml:space="preserve"> </w:t>
                      </w:r>
                      <w:r w:rsidR="00EB1B33">
                        <w:rPr>
                          <w:color w:val="FFFFFF"/>
                          <w:sz w:val="44"/>
                        </w:rPr>
                        <w:t>|</w:t>
                      </w:r>
                      <w:r w:rsidR="00EB1B33">
                        <w:rPr>
                          <w:color w:val="FFFFFF"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44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40C8E1" w14:textId="69B8B7DF" w:rsidR="002239EF" w:rsidRDefault="002239EF">
      <w:pPr>
        <w:ind w:left="326"/>
        <w:rPr>
          <w:sz w:val="20"/>
        </w:rPr>
      </w:pPr>
    </w:p>
    <w:p w14:paraId="334CF2FA" w14:textId="4EAEBC3B" w:rsidR="002239EF" w:rsidRDefault="002239EF" w:rsidP="00C41CAC">
      <w:pPr>
        <w:pStyle w:val="BodyText"/>
        <w:spacing w:before="101"/>
      </w:pPr>
    </w:p>
    <w:p w14:paraId="295370F4" w14:textId="77777777" w:rsidR="002239EF" w:rsidRDefault="00EB1B33">
      <w:pPr>
        <w:pStyle w:val="BodyText"/>
        <w:spacing w:before="28"/>
        <w:ind w:left="467"/>
      </w:pPr>
      <w:r>
        <w:rPr>
          <w:color w:val="0A55B8"/>
          <w:spacing w:val="-2"/>
        </w:rPr>
        <w:t>FOOTNOTES</w:t>
      </w:r>
    </w:p>
    <w:p w14:paraId="433E3E34" w14:textId="17C3D1CB" w:rsidR="002239EF" w:rsidRDefault="002239EF">
      <w:pPr>
        <w:ind w:left="151"/>
        <w:rPr>
          <w:b/>
          <w:sz w:val="20"/>
        </w:rPr>
      </w:pPr>
    </w:p>
    <w:p w14:paraId="0A387FF8" w14:textId="7532C0CC" w:rsidR="00BA50B4" w:rsidRDefault="00BA50B4" w:rsidP="00BA50B4">
      <w:pPr>
        <w:ind w:left="151"/>
        <w:rPr>
          <w:b/>
          <w:sz w:val="20"/>
          <w:lang w:val="tr-TR"/>
        </w:rPr>
      </w:pPr>
      <w:r>
        <w:rPr>
          <w:b/>
          <w:sz w:val="20"/>
          <w:lang w:val="tr-TR"/>
        </w:rPr>
        <w:t>1.</w:t>
      </w:r>
      <w:r w:rsidRPr="00BA50B4">
        <w:rPr>
          <w:b/>
          <w:sz w:val="20"/>
          <w:lang w:val="tr-TR"/>
        </w:rPr>
        <w:t>Ames, N. (2026, February 11). European Super League project officially over after Real Madrid and Uefa deal. The Guardian.</w:t>
      </w:r>
      <w:r w:rsidRPr="00BA50B4">
        <w:rPr>
          <w:b/>
          <w:sz w:val="20"/>
          <w:lang w:val="tr-TR"/>
        </w:rPr>
        <w:br/>
        <w:t>https://www.theguardian.com/football/2026/feb/11/european-super-league-project-over-real-madrid-uefa-deal</w:t>
      </w:r>
      <w:r w:rsidRPr="00BA50B4">
        <w:rPr>
          <w:b/>
          <w:sz w:val="20"/>
          <w:lang w:val="tr-TR"/>
        </w:rPr>
        <w:br/>
      </w:r>
    </w:p>
    <w:p w14:paraId="6337AFA9" w14:textId="612D2F79" w:rsidR="00BA50B4" w:rsidRDefault="00BA50B4" w:rsidP="00BA50B4">
      <w:pPr>
        <w:ind w:left="151"/>
        <w:rPr>
          <w:b/>
          <w:sz w:val="20"/>
          <w:lang w:val="tr-TR"/>
        </w:rPr>
      </w:pPr>
      <w:r>
        <w:rPr>
          <w:b/>
          <w:sz w:val="20"/>
          <w:lang w:val="tr-TR"/>
        </w:rPr>
        <w:t>2.</w:t>
      </w:r>
      <w:r w:rsidRPr="00BA50B4">
        <w:rPr>
          <w:b/>
          <w:sz w:val="20"/>
          <w:lang w:val="tr-TR"/>
        </w:rPr>
        <w:t>Beck, H., Prinz, A., &amp; van der Burg, T. (2023). The league system, competitive balance, and the future of European football.</w:t>
      </w:r>
      <w:r w:rsidRPr="00BA50B4">
        <w:rPr>
          <w:b/>
          <w:sz w:val="20"/>
          <w:lang w:val="tr-TR"/>
        </w:rPr>
        <w:br/>
        <w:t>Managing Sport and Leisure, 29(1), 21–44. https://doi.org/10.1080/23750472.2022.2137056</w:t>
      </w:r>
      <w:r w:rsidRPr="00BA50B4">
        <w:rPr>
          <w:b/>
          <w:sz w:val="20"/>
          <w:lang w:val="tr-TR"/>
        </w:rPr>
        <w:br/>
      </w:r>
    </w:p>
    <w:p w14:paraId="3B983567" w14:textId="4CDAA03B" w:rsidR="00BA50B4" w:rsidRDefault="00BA50B4" w:rsidP="00BA50B4">
      <w:pPr>
        <w:ind w:left="151"/>
        <w:rPr>
          <w:b/>
          <w:sz w:val="20"/>
          <w:lang w:val="tr-TR"/>
        </w:rPr>
      </w:pPr>
      <w:r>
        <w:rPr>
          <w:b/>
          <w:sz w:val="20"/>
          <w:lang w:val="tr-TR"/>
        </w:rPr>
        <w:t>3.</w:t>
      </w:r>
      <w:r w:rsidRPr="00BA50B4">
        <w:rPr>
          <w:b/>
          <w:sz w:val="20"/>
          <w:lang w:val="tr-TR"/>
        </w:rPr>
        <w:t>Court of Justice of the European Union. (2023, December 21). European Superleague Company, SL v. FIFA and UEFA (Case</w:t>
      </w:r>
      <w:r w:rsidRPr="00BA50B4">
        <w:rPr>
          <w:b/>
          <w:sz w:val="20"/>
          <w:lang w:val="tr-TR"/>
        </w:rPr>
        <w:br/>
        <w:t>C-333/21, ECLI:EU:C:2023:1011). https://eur-lex.europa.eu/legal-content/EN/TXT/?uri=CELEX:62021CJ0333</w:t>
      </w:r>
      <w:r w:rsidRPr="00BA50B4">
        <w:rPr>
          <w:b/>
          <w:sz w:val="20"/>
          <w:lang w:val="tr-TR"/>
        </w:rPr>
        <w:br/>
      </w:r>
    </w:p>
    <w:p w14:paraId="5A6E87D0" w14:textId="4B174FD1" w:rsidR="00BA50B4" w:rsidRDefault="00BA50B4" w:rsidP="00BA50B4">
      <w:pPr>
        <w:ind w:left="151"/>
        <w:rPr>
          <w:b/>
          <w:sz w:val="20"/>
          <w:lang w:val="tr-TR"/>
        </w:rPr>
      </w:pPr>
      <w:r>
        <w:rPr>
          <w:b/>
          <w:sz w:val="20"/>
          <w:lang w:val="tr-TR"/>
        </w:rPr>
        <w:t>4.</w:t>
      </w:r>
      <w:r w:rsidRPr="00BA50B4">
        <w:rPr>
          <w:b/>
          <w:sz w:val="20"/>
          <w:lang w:val="tr-TR"/>
        </w:rPr>
        <w:t>European Commission. (n.d.). The European sport model. https://sport.ec.europa.eu/sport-in-the-eu/the-european-sport-model</w:t>
      </w:r>
      <w:r w:rsidRPr="00BA50B4">
        <w:rPr>
          <w:b/>
          <w:sz w:val="20"/>
          <w:lang w:val="tr-TR"/>
        </w:rPr>
        <w:br/>
      </w:r>
    </w:p>
    <w:p w14:paraId="58AF558B" w14:textId="22FBA51A" w:rsidR="00BA50B4" w:rsidRDefault="00BA50B4" w:rsidP="00BA50B4">
      <w:pPr>
        <w:ind w:left="151"/>
        <w:rPr>
          <w:b/>
          <w:sz w:val="20"/>
          <w:lang w:val="tr-TR"/>
        </w:rPr>
      </w:pPr>
      <w:r>
        <w:rPr>
          <w:b/>
          <w:sz w:val="20"/>
          <w:lang w:val="tr-TR"/>
        </w:rPr>
        <w:t>5.</w:t>
      </w:r>
      <w:r w:rsidRPr="00BA50B4">
        <w:rPr>
          <w:b/>
          <w:sz w:val="20"/>
          <w:lang w:val="tr-TR"/>
        </w:rPr>
        <w:t>Gyimesi, A. (2024). Competitive balance in the post-2024 Champions League and the European Super League: A simulation study.</w:t>
      </w:r>
      <w:r w:rsidRPr="00BA50B4">
        <w:rPr>
          <w:b/>
          <w:sz w:val="20"/>
          <w:lang w:val="tr-TR"/>
        </w:rPr>
        <w:br/>
        <w:t>Journal of Sports Economics, 25(6), 707–734. https://doi.org/10.1177/15270025241249362</w:t>
      </w:r>
      <w:r w:rsidRPr="00BA50B4">
        <w:rPr>
          <w:b/>
          <w:sz w:val="20"/>
          <w:lang w:val="tr-TR"/>
        </w:rPr>
        <w:br/>
      </w:r>
    </w:p>
    <w:p w14:paraId="007C3026" w14:textId="46CD3F20" w:rsidR="00BA50B4" w:rsidRPr="00BA50B4" w:rsidRDefault="00BA50B4" w:rsidP="00BA50B4">
      <w:pPr>
        <w:ind w:left="151"/>
        <w:rPr>
          <w:b/>
          <w:sz w:val="20"/>
          <w:lang w:val="tr-TR"/>
        </w:rPr>
      </w:pPr>
      <w:r>
        <w:rPr>
          <w:b/>
          <w:sz w:val="20"/>
          <w:lang w:val="tr-TR"/>
        </w:rPr>
        <w:t>6.</w:t>
      </w:r>
      <w:r w:rsidRPr="00BA50B4">
        <w:rPr>
          <w:b/>
          <w:sz w:val="20"/>
          <w:lang w:val="tr-TR"/>
        </w:rPr>
        <w:t>Zglinski, J. (2025). Reforming football: What the EU can do. German Law Journal, 26(3), 520–545. https://doi.org/10.1017/glj.2025.25</w:t>
      </w:r>
    </w:p>
    <w:p w14:paraId="6CC1F551" w14:textId="77777777" w:rsidR="00394F20" w:rsidRDefault="00394F20">
      <w:pPr>
        <w:ind w:left="151"/>
        <w:rPr>
          <w:b/>
          <w:sz w:val="20"/>
        </w:rPr>
      </w:pPr>
    </w:p>
    <w:sectPr w:rsidR="00394F20">
      <w:footerReference w:type="default" r:id="rId10"/>
      <w:pgSz w:w="11910" w:h="16840"/>
      <w:pgMar w:top="1040" w:right="425" w:bottom="280" w:left="42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5A7933" w14:textId="77777777" w:rsidR="00EB1B33" w:rsidRDefault="00EB1B33">
      <w:r>
        <w:separator/>
      </w:r>
    </w:p>
  </w:endnote>
  <w:endnote w:type="continuationSeparator" w:id="0">
    <w:p w14:paraId="600EB5EC" w14:textId="77777777" w:rsidR="00EB1B33" w:rsidRDefault="00EB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7AAFC6" w14:textId="77777777" w:rsidR="002239EF" w:rsidRDefault="00EB1B33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4960" behindDoc="1" locked="0" layoutInCell="1" allowOverlap="1" wp14:anchorId="271CEF34" wp14:editId="1C1166F3">
              <wp:simplePos x="0" y="0"/>
              <wp:positionH relativeFrom="page">
                <wp:posOffset>302259</wp:posOffset>
              </wp:positionH>
              <wp:positionV relativeFrom="page">
                <wp:posOffset>10196194</wp:posOffset>
              </wp:positionV>
              <wp:extent cx="254635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F9FE74" w14:textId="77777777" w:rsidR="002239EF" w:rsidRDefault="00EB1B33">
                          <w:pPr>
                            <w:spacing w:line="223" w:lineRule="exact"/>
                            <w:ind w:left="10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73779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73779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73779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A66165">
                            <w:rPr>
                              <w:b/>
                              <w:noProof/>
                              <w:color w:val="073779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color w:val="073779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23.8pt;margin-top:802.85pt;width:20.05pt;height:12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3zqQEAAD4DAAAOAAAAZHJzL2Uyb0RvYy54bWysUsFuGyEQvVfqPyDuNWs3jpqV11HbqFWl&#10;qK2U5ANYFryoC0MZ7F3/fQe8dqLmVvUCAzzemzczm9vJDeygI1rwDV8uKs60V9BZv2v40+OXdx84&#10;wyR9JwfwuuFHjfx2+/bNZgy1XkEPQ6cjIxKP9Rga3qcUaiFQ9dpJXEDQnh4NRCcTHeNOdFGOxO4G&#10;saqqazFC7EIEpRHp9u70yLeF3xit0g9jUCc2NJxyS2WNZW3zKrYbWe+iDL1VcxryH7Jw0noSvVDd&#10;ySTZPtpXVM6qCAgmLRQ4AcZYpYsHcrOs/nLz0MugixcqDoZLmfD/0arvh5+R2a7hN5x56ahFj3pK&#10;LUzsJhdnDFgT5iEQKk2fYKImF6MY7kH9QoKIF5jTByR0LsZkoss72WT0kep/vNScRJiiy9X66vr9&#10;mjNFT8v16qoqPRHPn0PE9FWDYzloeKSWlgTk4R5Tlpf1GTLncpLPWaWpnWYTLXRH8jBSqxuOv/cy&#10;as6Gb55qmefiHMRz0J6DmIbPUKYnW/HwcZ/A2KKcJU68szI1qSQ0D1Segpfngnoe++0fAAAA//8D&#10;AFBLAwQUAAYACAAAACEAXfVh7OEAAAALAQAADwAAAGRycy9kb3ducmV2LnhtbEyPwU7DMBBE70j8&#10;g7VI3KhDROM2xKlQUcUBcWgBqUc3NnFEvI5iN3X/nu2pnFY7M5p9W62S69lkxtB5lPA4y4AZbLzu&#10;sJXw9bl5WAALUaFWvUcj4WwCrOrbm0qV2p9wa6ZdbBmVYCiVBBvjUHIeGmucCjM/GCTvx49ORVrH&#10;lutRnajc9TzPsoI71SFdsGowa2ua393RSfheD5v3tLfqY5rrt9dcbM9jk6S8v0svz8CiSfEahgs+&#10;oUNNTAd/RB1YL+FJFJQkvcjmAhglFoLm4aLkSwG8rvj/H+o/AAAA//8DAFBLAQItABQABgAIAAAA&#10;IQC2gziS/gAAAOEBAAATAAAAAAAAAAAAAAAAAAAAAABbQ29udGVudF9UeXBlc10ueG1sUEsBAi0A&#10;FAAGAAgAAAAhADj9If/WAAAAlAEAAAsAAAAAAAAAAAAAAAAALwEAAF9yZWxzLy5yZWxzUEsBAi0A&#10;FAAGAAgAAAAhAIWqLfOpAQAAPgMAAA4AAAAAAAAAAAAAAAAALgIAAGRycy9lMm9Eb2MueG1sUEsB&#10;Ai0AFAAGAAgAAAAhAF31YezhAAAACwEAAA8AAAAAAAAAAAAAAAAAAwQAAGRycy9kb3ducmV2Lnht&#10;bFBLBQYAAAAABAAEAPMAAAARBQAAAAA=&#10;" filled="f" stroked="f">
              <v:path arrowok="t"/>
              <v:textbox inset="0,0,0,0">
                <w:txbxContent>
                  <w:p w14:paraId="2EF9FE74" w14:textId="77777777" w:rsidR="002239EF" w:rsidRDefault="00EB1B33">
                    <w:pPr>
                      <w:spacing w:line="223" w:lineRule="exact"/>
                      <w:ind w:left="10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73779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color w:val="073779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color w:val="073779"/>
                        <w:spacing w:val="-10"/>
                        <w:sz w:val="20"/>
                      </w:rPr>
                      <w:fldChar w:fldCharType="separate"/>
                    </w:r>
                    <w:r w:rsidR="00A66165">
                      <w:rPr>
                        <w:b/>
                        <w:noProof/>
                        <w:color w:val="073779"/>
                        <w:spacing w:val="-10"/>
                        <w:sz w:val="20"/>
                      </w:rPr>
                      <w:t>2</w:t>
                    </w:r>
                    <w:r>
                      <w:rPr>
                        <w:b/>
                        <w:color w:val="073779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5CDEAC" w14:textId="77777777" w:rsidR="002239EF" w:rsidRDefault="002239E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B79B2" w14:textId="77777777" w:rsidR="00EB1B33" w:rsidRDefault="00EB1B33">
      <w:r>
        <w:separator/>
      </w:r>
    </w:p>
  </w:footnote>
  <w:footnote w:type="continuationSeparator" w:id="0">
    <w:p w14:paraId="0143E0DD" w14:textId="77777777" w:rsidR="00EB1B33" w:rsidRDefault="00EB1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44B79"/>
    <w:multiLevelType w:val="hybridMultilevel"/>
    <w:tmpl w:val="2800CB92"/>
    <w:lvl w:ilvl="0" w:tplc="528AE3D0">
      <w:start w:val="1"/>
      <w:numFmt w:val="decimal"/>
      <w:lvlText w:val="%1."/>
      <w:lvlJc w:val="left"/>
      <w:pPr>
        <w:ind w:left="151" w:hanging="279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4C70B822">
      <w:numFmt w:val="bullet"/>
      <w:lvlText w:val="•"/>
      <w:lvlJc w:val="left"/>
      <w:pPr>
        <w:ind w:left="461" w:hanging="279"/>
      </w:pPr>
      <w:rPr>
        <w:rFonts w:hint="default"/>
        <w:lang w:val="en-US" w:eastAsia="en-US" w:bidi="ar-SA"/>
      </w:rPr>
    </w:lvl>
    <w:lvl w:ilvl="2" w:tplc="8A6AAFA6">
      <w:numFmt w:val="bullet"/>
      <w:lvlText w:val="•"/>
      <w:lvlJc w:val="left"/>
      <w:pPr>
        <w:ind w:left="763" w:hanging="279"/>
      </w:pPr>
      <w:rPr>
        <w:rFonts w:hint="default"/>
        <w:lang w:val="en-US" w:eastAsia="en-US" w:bidi="ar-SA"/>
      </w:rPr>
    </w:lvl>
    <w:lvl w:ilvl="3" w:tplc="1C16DFBE">
      <w:numFmt w:val="bullet"/>
      <w:lvlText w:val="•"/>
      <w:lvlJc w:val="left"/>
      <w:pPr>
        <w:ind w:left="1065" w:hanging="279"/>
      </w:pPr>
      <w:rPr>
        <w:rFonts w:hint="default"/>
        <w:lang w:val="en-US" w:eastAsia="en-US" w:bidi="ar-SA"/>
      </w:rPr>
    </w:lvl>
    <w:lvl w:ilvl="4" w:tplc="FDBCCEB4">
      <w:numFmt w:val="bullet"/>
      <w:lvlText w:val="•"/>
      <w:lvlJc w:val="left"/>
      <w:pPr>
        <w:ind w:left="1367" w:hanging="279"/>
      </w:pPr>
      <w:rPr>
        <w:rFonts w:hint="default"/>
        <w:lang w:val="en-US" w:eastAsia="en-US" w:bidi="ar-SA"/>
      </w:rPr>
    </w:lvl>
    <w:lvl w:ilvl="5" w:tplc="8062B5E4">
      <w:numFmt w:val="bullet"/>
      <w:lvlText w:val="•"/>
      <w:lvlJc w:val="left"/>
      <w:pPr>
        <w:ind w:left="1669" w:hanging="279"/>
      </w:pPr>
      <w:rPr>
        <w:rFonts w:hint="default"/>
        <w:lang w:val="en-US" w:eastAsia="en-US" w:bidi="ar-SA"/>
      </w:rPr>
    </w:lvl>
    <w:lvl w:ilvl="6" w:tplc="8D880650">
      <w:numFmt w:val="bullet"/>
      <w:lvlText w:val="•"/>
      <w:lvlJc w:val="left"/>
      <w:pPr>
        <w:ind w:left="1971" w:hanging="279"/>
      </w:pPr>
      <w:rPr>
        <w:rFonts w:hint="default"/>
        <w:lang w:val="en-US" w:eastAsia="en-US" w:bidi="ar-SA"/>
      </w:rPr>
    </w:lvl>
    <w:lvl w:ilvl="7" w:tplc="88FA47BE">
      <w:numFmt w:val="bullet"/>
      <w:lvlText w:val="•"/>
      <w:lvlJc w:val="left"/>
      <w:pPr>
        <w:ind w:left="2273" w:hanging="279"/>
      </w:pPr>
      <w:rPr>
        <w:rFonts w:hint="default"/>
        <w:lang w:val="en-US" w:eastAsia="en-US" w:bidi="ar-SA"/>
      </w:rPr>
    </w:lvl>
    <w:lvl w:ilvl="8" w:tplc="B74C7C6E">
      <w:numFmt w:val="bullet"/>
      <w:lvlText w:val="•"/>
      <w:lvlJc w:val="left"/>
      <w:pPr>
        <w:ind w:left="2575" w:hanging="279"/>
      </w:pPr>
      <w:rPr>
        <w:rFonts w:hint="default"/>
        <w:lang w:val="en-US" w:eastAsia="en-US" w:bidi="ar-SA"/>
      </w:rPr>
    </w:lvl>
  </w:abstractNum>
  <w:abstractNum w:abstractNumId="1">
    <w:nsid w:val="698C7AF4"/>
    <w:multiLevelType w:val="hybridMultilevel"/>
    <w:tmpl w:val="FC70EBE8"/>
    <w:lvl w:ilvl="0" w:tplc="AC863B6A">
      <w:start w:val="1"/>
      <w:numFmt w:val="decimal"/>
      <w:lvlText w:val="%1."/>
      <w:lvlJc w:val="left"/>
      <w:pPr>
        <w:ind w:left="1188" w:hanging="360"/>
      </w:pPr>
      <w:rPr>
        <w:rFonts w:hint="default"/>
        <w:spacing w:val="-1"/>
        <w:w w:val="99"/>
        <w:lang w:val="en-US" w:eastAsia="en-US" w:bidi="ar-SA"/>
      </w:rPr>
    </w:lvl>
    <w:lvl w:ilvl="1" w:tplc="A9EA1BE2">
      <w:numFmt w:val="bullet"/>
      <w:lvlText w:val="•"/>
      <w:lvlJc w:val="left"/>
      <w:pPr>
        <w:ind w:left="2167" w:hanging="360"/>
      </w:pPr>
      <w:rPr>
        <w:rFonts w:hint="default"/>
        <w:lang w:val="en-US" w:eastAsia="en-US" w:bidi="ar-SA"/>
      </w:rPr>
    </w:lvl>
    <w:lvl w:ilvl="2" w:tplc="268E9AE8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ar-SA"/>
      </w:rPr>
    </w:lvl>
    <w:lvl w:ilvl="3" w:tplc="57CA6B30">
      <w:numFmt w:val="bullet"/>
      <w:lvlText w:val="•"/>
      <w:lvlJc w:val="left"/>
      <w:pPr>
        <w:ind w:left="4143" w:hanging="360"/>
      </w:pPr>
      <w:rPr>
        <w:rFonts w:hint="default"/>
        <w:lang w:val="en-US" w:eastAsia="en-US" w:bidi="ar-SA"/>
      </w:rPr>
    </w:lvl>
    <w:lvl w:ilvl="4" w:tplc="87A67A28">
      <w:numFmt w:val="bullet"/>
      <w:lvlText w:val="•"/>
      <w:lvlJc w:val="left"/>
      <w:pPr>
        <w:ind w:left="5131" w:hanging="360"/>
      </w:pPr>
      <w:rPr>
        <w:rFonts w:hint="default"/>
        <w:lang w:val="en-US" w:eastAsia="en-US" w:bidi="ar-SA"/>
      </w:rPr>
    </w:lvl>
    <w:lvl w:ilvl="5" w:tplc="D6E6DEC0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6" w:tplc="29DA0E78">
      <w:numFmt w:val="bullet"/>
      <w:lvlText w:val="•"/>
      <w:lvlJc w:val="left"/>
      <w:pPr>
        <w:ind w:left="7107" w:hanging="360"/>
      </w:pPr>
      <w:rPr>
        <w:rFonts w:hint="default"/>
        <w:lang w:val="en-US" w:eastAsia="en-US" w:bidi="ar-SA"/>
      </w:rPr>
    </w:lvl>
    <w:lvl w:ilvl="7" w:tplc="5060C968">
      <w:numFmt w:val="bullet"/>
      <w:lvlText w:val="•"/>
      <w:lvlJc w:val="left"/>
      <w:pPr>
        <w:ind w:left="8095" w:hanging="360"/>
      </w:pPr>
      <w:rPr>
        <w:rFonts w:hint="default"/>
        <w:lang w:val="en-US" w:eastAsia="en-US" w:bidi="ar-SA"/>
      </w:rPr>
    </w:lvl>
    <w:lvl w:ilvl="8" w:tplc="5192B30A">
      <w:numFmt w:val="bullet"/>
      <w:lvlText w:val="•"/>
      <w:lvlJc w:val="left"/>
      <w:pPr>
        <w:ind w:left="9083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9EF"/>
    <w:rsid w:val="00056731"/>
    <w:rsid w:val="00076681"/>
    <w:rsid w:val="00147E17"/>
    <w:rsid w:val="002239EF"/>
    <w:rsid w:val="00394F20"/>
    <w:rsid w:val="003976F0"/>
    <w:rsid w:val="003D46C2"/>
    <w:rsid w:val="00403C4D"/>
    <w:rsid w:val="004C7C42"/>
    <w:rsid w:val="005E0F67"/>
    <w:rsid w:val="00853435"/>
    <w:rsid w:val="008B7703"/>
    <w:rsid w:val="00A34459"/>
    <w:rsid w:val="00A56157"/>
    <w:rsid w:val="00A66165"/>
    <w:rsid w:val="00BA50B4"/>
    <w:rsid w:val="00C41CAC"/>
    <w:rsid w:val="00C74DF8"/>
    <w:rsid w:val="00C9652B"/>
    <w:rsid w:val="00D077D0"/>
    <w:rsid w:val="00E01A98"/>
    <w:rsid w:val="00EB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B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7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295"/>
      <w:jc w:val="both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44"/>
      <w:ind w:left="151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"/>
      <w:ind w:left="118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7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295"/>
      <w:jc w:val="both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44"/>
      <w:ind w:left="151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"/>
      <w:ind w:left="118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2A21B-849A-45EB-893D-877957561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561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KEY POINTS</vt:lpstr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Elola Calderon</dc:creator>
  <cp:lastModifiedBy>Muhsin Talha IŞIK</cp:lastModifiedBy>
  <cp:revision>3</cp:revision>
  <dcterms:created xsi:type="dcterms:W3CDTF">2026-10-31T09:15:00Z</dcterms:created>
  <dcterms:modified xsi:type="dcterms:W3CDTF">2026-11-05T09:17:00Z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2021-04-12T00:00:00Z</vt:filetime>
  </property>
  <property fmtid="{D5CDD505-2E9C-101B-9397-08002B2CF9AE}" pid="4" name="Creator">
    <vt:lpwstr>Microsoft® Word für Microsoft 365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für Microsoft 365</vt:lpwstr>
  </property>
</Properties>
</file>