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7A97" w14:textId="41624C7E" w:rsidR="00F07748" w:rsidRPr="00AE5182" w:rsidRDefault="00000000" w:rsidP="00AE5182">
      <w:pPr>
        <w:tabs>
          <w:tab w:val="left" w:pos="8084"/>
        </w:tabs>
        <w:spacing w:before="423" w:line="360" w:lineRule="auto"/>
        <w:ind w:left="1735"/>
        <w:rPr>
          <w:rFonts w:ascii="Times New Roman" w:hAnsi="Times New Roman" w:cs="Times New Roman"/>
          <w:sz w:val="24"/>
          <w:szCs w:val="24"/>
        </w:rPr>
      </w:pPr>
      <w:r w:rsidRPr="00AE5182">
        <w:rPr>
          <w:rFonts w:ascii="Times New Roman" w:hAnsi="Times New Roman" w:cs="Times New Roman"/>
          <w:noProof/>
          <w:sz w:val="24"/>
          <w:szCs w:val="24"/>
        </w:rPr>
        <mc:AlternateContent>
          <mc:Choice Requires="wps">
            <w:drawing>
              <wp:anchor distT="0" distB="0" distL="0" distR="0" simplePos="0" relativeHeight="251658752" behindDoc="0" locked="0" layoutInCell="1" allowOverlap="1" wp14:anchorId="727E0737" wp14:editId="5BDC6ADE">
                <wp:simplePos x="0" y="0"/>
                <wp:positionH relativeFrom="page">
                  <wp:posOffset>365125</wp:posOffset>
                </wp:positionH>
                <wp:positionV relativeFrom="paragraph">
                  <wp:posOffset>4063</wp:posOffset>
                </wp:positionV>
                <wp:extent cx="942975" cy="7848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784860"/>
                        </a:xfrm>
                        <a:prstGeom prst="rect">
                          <a:avLst/>
                        </a:prstGeom>
                        <a:solidFill>
                          <a:srgbClr val="073779"/>
                        </a:solidFill>
                      </wps:spPr>
                      <wps:txbx>
                        <w:txbxContent>
                          <w:p w14:paraId="65E01548" w14:textId="01FD6032" w:rsidR="00F07748" w:rsidRDefault="00F07748">
                            <w:pPr>
                              <w:spacing w:before="417"/>
                              <w:ind w:left="1"/>
                              <w:rPr>
                                <w:color w:val="000000"/>
                                <w:sz w:val="44"/>
                              </w:rPr>
                            </w:pPr>
                          </w:p>
                        </w:txbxContent>
                      </wps:txbx>
                      <wps:bodyPr wrap="square" lIns="0" tIns="0" rIns="0" bIns="0" rtlCol="0">
                        <a:noAutofit/>
                      </wps:bodyPr>
                    </wps:wsp>
                  </a:graphicData>
                </a:graphic>
                <wp14:sizeRelH relativeFrom="margin">
                  <wp14:pctWidth>0</wp14:pctWidth>
                </wp14:sizeRelH>
              </wp:anchor>
            </w:drawing>
          </mc:Choice>
          <mc:Fallback>
            <w:pict>
              <v:shapetype w14:anchorId="727E0737" id="_x0000_t202" coordsize="21600,21600" o:spt="202" path="m,l,21600r21600,l21600,xe">
                <v:stroke joinstyle="miter"/>
                <v:path gradientshapeok="t" o:connecttype="rect"/>
              </v:shapetype>
              <v:shape id="Textbox 1" o:spid="_x0000_s1026" type="#_x0000_t202" style="position:absolute;left:0;text-align:left;margin-left:28.75pt;margin-top:.3pt;width:74.25pt;height:61.8pt;z-index:2516587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DZTjCdswEAAE4DAAAOAAAAAAAAAAAAAAAAAC4CAABkcnMvZTJvRG9j&#10;LnhtbFBLAQItABQABgAIAAAAIQD3e4Xd3gAAAAcBAAAPAAAAAAAAAAAAAAAAAA0EAABkcnMvZG93&#10;bnJldi54bWxQSwUGAAAAAAQABADzAAAAGAUAAAAA&#10;" fillcolor="#073779" stroked="f">
                <v:textbox inset="0,0,0,0">
                  <w:txbxContent>
                    <w:p w14:paraId="65E01548" w14:textId="01FD6032" w:rsidR="00F07748" w:rsidRDefault="00F07748">
                      <w:pPr>
                        <w:spacing w:before="417"/>
                        <w:ind w:left="1"/>
                        <w:rPr>
                          <w:color w:val="000000"/>
                          <w:sz w:val="44"/>
                        </w:rPr>
                      </w:pPr>
                    </w:p>
                  </w:txbxContent>
                </v:textbox>
                <w10:wrap anchorx="page"/>
              </v:shape>
            </w:pict>
          </mc:Fallback>
        </mc:AlternateContent>
      </w:r>
      <w:r w:rsidRPr="00AE5182">
        <w:rPr>
          <w:rFonts w:ascii="Times New Roman" w:hAnsi="Times New Roman" w:cs="Times New Roman"/>
          <w:color w:val="073779"/>
          <w:sz w:val="24"/>
          <w:szCs w:val="24"/>
        </w:rPr>
        <w:t>POLICY</w:t>
      </w:r>
      <w:r w:rsidRPr="00AE5182">
        <w:rPr>
          <w:rFonts w:ascii="Times New Roman" w:hAnsi="Times New Roman" w:cs="Times New Roman"/>
          <w:color w:val="073779"/>
          <w:spacing w:val="-13"/>
          <w:sz w:val="24"/>
          <w:szCs w:val="24"/>
        </w:rPr>
        <w:t xml:space="preserve"> </w:t>
      </w:r>
      <w:r w:rsidRPr="00AE5182">
        <w:rPr>
          <w:rFonts w:ascii="Times New Roman" w:hAnsi="Times New Roman" w:cs="Times New Roman"/>
          <w:color w:val="073779"/>
          <w:spacing w:val="-4"/>
          <w:sz w:val="24"/>
          <w:szCs w:val="24"/>
        </w:rPr>
        <w:t>BRIEF</w:t>
      </w:r>
      <w:r w:rsidR="00B43369" w:rsidRPr="00AE5182">
        <w:rPr>
          <w:rFonts w:ascii="Times New Roman" w:hAnsi="Times New Roman" w:cs="Times New Roman"/>
          <w:color w:val="073779"/>
          <w:sz w:val="24"/>
          <w:szCs w:val="24"/>
        </w:rPr>
        <w:tab/>
      </w:r>
      <w:r w:rsidRPr="00AE5182">
        <w:rPr>
          <w:rFonts w:ascii="Times New Roman" w:hAnsi="Times New Roman" w:cs="Times New Roman"/>
          <w:color w:val="073779"/>
          <w:sz w:val="24"/>
          <w:szCs w:val="24"/>
        </w:rPr>
        <w:t>ISSUE</w:t>
      </w:r>
      <w:r w:rsidRPr="00AE5182">
        <w:rPr>
          <w:rFonts w:ascii="Times New Roman" w:hAnsi="Times New Roman" w:cs="Times New Roman"/>
          <w:color w:val="073779"/>
          <w:spacing w:val="-7"/>
          <w:sz w:val="24"/>
          <w:szCs w:val="24"/>
        </w:rPr>
        <w:t xml:space="preserve"> </w:t>
      </w:r>
      <w:r w:rsidRPr="00AE5182">
        <w:rPr>
          <w:rFonts w:ascii="Times New Roman" w:hAnsi="Times New Roman" w:cs="Times New Roman"/>
          <w:color w:val="073779"/>
          <w:sz w:val="24"/>
          <w:szCs w:val="24"/>
        </w:rPr>
        <w:t>202</w:t>
      </w:r>
      <w:r w:rsidR="00B43369" w:rsidRPr="00AE5182">
        <w:rPr>
          <w:rFonts w:ascii="Times New Roman" w:hAnsi="Times New Roman" w:cs="Times New Roman"/>
          <w:color w:val="073779"/>
          <w:sz w:val="24"/>
          <w:szCs w:val="24"/>
        </w:rPr>
        <w:t>6</w:t>
      </w:r>
      <w:r w:rsidRPr="00AE5182">
        <w:rPr>
          <w:rFonts w:ascii="Times New Roman" w:hAnsi="Times New Roman" w:cs="Times New Roman"/>
          <w:color w:val="073779"/>
          <w:spacing w:val="38"/>
          <w:w w:val="150"/>
          <w:sz w:val="24"/>
          <w:szCs w:val="24"/>
        </w:rPr>
        <w:t xml:space="preserve"> </w:t>
      </w:r>
      <w:r w:rsidRPr="00AE5182">
        <w:rPr>
          <w:rFonts w:ascii="Times New Roman" w:hAnsi="Times New Roman" w:cs="Times New Roman"/>
          <w:color w:val="073779"/>
          <w:sz w:val="24"/>
          <w:szCs w:val="24"/>
        </w:rPr>
        <w:t>|</w:t>
      </w:r>
      <w:r w:rsidRPr="00AE5182">
        <w:rPr>
          <w:rFonts w:ascii="Times New Roman" w:hAnsi="Times New Roman" w:cs="Times New Roman"/>
          <w:color w:val="073779"/>
          <w:spacing w:val="-5"/>
          <w:sz w:val="24"/>
          <w:szCs w:val="24"/>
        </w:rPr>
        <w:t xml:space="preserve"> </w:t>
      </w:r>
      <w:r w:rsidRPr="00AE5182">
        <w:rPr>
          <w:rFonts w:ascii="Times New Roman" w:hAnsi="Times New Roman" w:cs="Times New Roman"/>
          <w:color w:val="073779"/>
          <w:spacing w:val="-10"/>
          <w:sz w:val="24"/>
          <w:szCs w:val="24"/>
        </w:rPr>
        <w:t>1</w:t>
      </w:r>
    </w:p>
    <w:p w14:paraId="28D5BB63" w14:textId="77777777" w:rsidR="00F07748" w:rsidRPr="00AE5182" w:rsidRDefault="00F07748" w:rsidP="00AE5182">
      <w:pPr>
        <w:pStyle w:val="GvdeMetni"/>
        <w:spacing w:before="400" w:line="360" w:lineRule="auto"/>
        <w:rPr>
          <w:rFonts w:ascii="Times New Roman" w:hAnsi="Times New Roman" w:cs="Times New Roman"/>
          <w:sz w:val="24"/>
          <w:szCs w:val="24"/>
        </w:rPr>
      </w:pPr>
    </w:p>
    <w:p w14:paraId="554D2007" w14:textId="77777777" w:rsidR="00AC605E" w:rsidRPr="00AE5182" w:rsidRDefault="00AC605E" w:rsidP="00AE5182">
      <w:pPr>
        <w:pStyle w:val="KonuBal"/>
        <w:spacing w:line="360" w:lineRule="auto"/>
        <w:rPr>
          <w:rFonts w:cs="Times New Roman"/>
          <w:sz w:val="52"/>
        </w:rPr>
      </w:pPr>
      <w:r w:rsidRPr="00AE5182">
        <w:rPr>
          <w:rFonts w:cs="Times New Roman"/>
          <w:color w:val="103D76"/>
          <w:sz w:val="52"/>
        </w:rPr>
        <w:t>How Can Governments Reduce Profit Shifting by Multinational Companies?</w:t>
      </w:r>
    </w:p>
    <w:p w14:paraId="6F1621E3" w14:textId="5E154669" w:rsidR="00F07748" w:rsidRPr="00AE5182" w:rsidRDefault="00F07748" w:rsidP="00AE5182">
      <w:pPr>
        <w:pStyle w:val="GvdeMetni"/>
        <w:spacing w:before="182" w:line="360" w:lineRule="auto"/>
        <w:rPr>
          <w:rFonts w:ascii="Times New Roman" w:hAnsi="Times New Roman" w:cs="Times New Roman"/>
          <w:b/>
          <w:sz w:val="24"/>
          <w:szCs w:val="24"/>
        </w:rPr>
      </w:pPr>
    </w:p>
    <w:p w14:paraId="3F1EEC3D" w14:textId="5BDFD181" w:rsidR="00F07748" w:rsidRPr="00AE5182" w:rsidRDefault="00000000" w:rsidP="00AE5182">
      <w:pPr>
        <w:pStyle w:val="GvdeMetni"/>
        <w:spacing w:line="360" w:lineRule="auto"/>
        <w:ind w:left="3651"/>
        <w:rPr>
          <w:rFonts w:ascii="Times New Roman" w:hAnsi="Times New Roman" w:cs="Times New Roman"/>
          <w:sz w:val="40"/>
          <w:szCs w:val="40"/>
        </w:rPr>
      </w:pPr>
      <w:r w:rsidRPr="00AE5182">
        <w:rPr>
          <w:rFonts w:ascii="Times New Roman" w:hAnsi="Times New Roman" w:cs="Times New Roman"/>
          <w:color w:val="0A55B8"/>
          <w:spacing w:val="-2"/>
          <w:sz w:val="40"/>
          <w:szCs w:val="40"/>
        </w:rPr>
        <w:t>Summary</w:t>
      </w:r>
    </w:p>
    <w:p w14:paraId="2059B3DB" w14:textId="77777777" w:rsidR="00F07748" w:rsidRPr="00AE5182" w:rsidRDefault="00F07748" w:rsidP="00AE5182">
      <w:pPr>
        <w:pStyle w:val="GvdeMetni"/>
        <w:spacing w:before="33" w:line="360" w:lineRule="auto"/>
        <w:rPr>
          <w:rFonts w:ascii="Times New Roman" w:hAnsi="Times New Roman" w:cs="Times New Roman"/>
          <w:sz w:val="24"/>
          <w:szCs w:val="24"/>
        </w:rPr>
      </w:pPr>
    </w:p>
    <w:p w14:paraId="2C55AE47" w14:textId="77777777" w:rsidR="00F07748" w:rsidRPr="00AE5182" w:rsidRDefault="00F07748" w:rsidP="00AE5182">
      <w:pPr>
        <w:pStyle w:val="GvdeMetni"/>
        <w:spacing w:line="360" w:lineRule="auto"/>
        <w:rPr>
          <w:rFonts w:ascii="Times New Roman" w:hAnsi="Times New Roman" w:cs="Times New Roman"/>
          <w:sz w:val="24"/>
          <w:szCs w:val="24"/>
        </w:rPr>
        <w:sectPr w:rsidR="00F07748" w:rsidRPr="00AE5182">
          <w:type w:val="continuous"/>
          <w:pgSz w:w="11910" w:h="16840"/>
          <w:pgMar w:top="560" w:right="425" w:bottom="280" w:left="425" w:header="708" w:footer="708" w:gutter="0"/>
          <w:cols w:space="708"/>
        </w:sectPr>
      </w:pPr>
    </w:p>
    <w:p w14:paraId="5761ED01" w14:textId="77777777" w:rsidR="00B43369" w:rsidRPr="00AE5182" w:rsidRDefault="00000000" w:rsidP="00AE5182">
      <w:pPr>
        <w:pStyle w:val="Balk3"/>
        <w:spacing w:line="360" w:lineRule="auto"/>
        <w:rPr>
          <w:rFonts w:ascii="Times New Roman" w:hAnsi="Times New Roman" w:cs="Times New Roman"/>
          <w:spacing w:val="-2"/>
          <w:sz w:val="24"/>
          <w:szCs w:val="24"/>
        </w:rPr>
      </w:pPr>
      <w:r w:rsidRPr="00AE5182">
        <w:rPr>
          <w:rFonts w:ascii="Times New Roman" w:hAnsi="Times New Roman" w:cs="Times New Roman"/>
          <w:sz w:val="24"/>
          <w:szCs w:val="24"/>
        </w:rPr>
        <w:t>KEY</w:t>
      </w:r>
      <w:r w:rsidRPr="00AE5182">
        <w:rPr>
          <w:rFonts w:ascii="Times New Roman" w:hAnsi="Times New Roman" w:cs="Times New Roman"/>
          <w:spacing w:val="-1"/>
          <w:sz w:val="24"/>
          <w:szCs w:val="24"/>
        </w:rPr>
        <w:t xml:space="preserve"> </w:t>
      </w:r>
      <w:r w:rsidRPr="00AE5182">
        <w:rPr>
          <w:rFonts w:ascii="Times New Roman" w:hAnsi="Times New Roman" w:cs="Times New Roman"/>
          <w:spacing w:val="-2"/>
          <w:sz w:val="24"/>
          <w:szCs w:val="24"/>
        </w:rPr>
        <w:t>POINT</w:t>
      </w:r>
      <w:r w:rsidR="00B43369" w:rsidRPr="00AE5182">
        <w:rPr>
          <w:rFonts w:ascii="Times New Roman" w:hAnsi="Times New Roman" w:cs="Times New Roman"/>
          <w:spacing w:val="-2"/>
          <w:sz w:val="24"/>
          <w:szCs w:val="24"/>
        </w:rPr>
        <w:t>S</w:t>
      </w:r>
    </w:p>
    <w:p w14:paraId="1C58B055" w14:textId="77777777" w:rsidR="00AC605E" w:rsidRPr="00AE5182" w:rsidRDefault="00AC605E" w:rsidP="00AE5182">
      <w:pPr>
        <w:pStyle w:val="ListeNumaras"/>
        <w:tabs>
          <w:tab w:val="num" w:pos="360"/>
        </w:tabs>
        <w:spacing w:after="100" w:line="360" w:lineRule="auto"/>
        <w:ind w:left="360" w:hanging="360"/>
        <w:rPr>
          <w:szCs w:val="24"/>
        </w:rPr>
      </w:pPr>
      <w:r w:rsidRPr="00AE5182">
        <w:rPr>
          <w:szCs w:val="24"/>
        </w:rPr>
        <w:t>Profit shifting can separate where profits are reported from where business activity occurs.</w:t>
      </w:r>
    </w:p>
    <w:p w14:paraId="11716EE5" w14:textId="77777777" w:rsidR="00AC605E" w:rsidRPr="00AE5182" w:rsidRDefault="00AC605E" w:rsidP="00AE5182">
      <w:pPr>
        <w:pStyle w:val="ListeNumaras"/>
        <w:tabs>
          <w:tab w:val="num" w:pos="360"/>
        </w:tabs>
        <w:spacing w:after="100" w:line="360" w:lineRule="auto"/>
        <w:ind w:left="360" w:hanging="360"/>
        <w:rPr>
          <w:szCs w:val="24"/>
        </w:rPr>
      </w:pPr>
      <w:r w:rsidRPr="00AE5182">
        <w:rPr>
          <w:szCs w:val="24"/>
        </w:rPr>
        <w:t>Tax coordination needs reliable information and effective domestic administration.</w:t>
      </w:r>
    </w:p>
    <w:p w14:paraId="47B7FBA4" w14:textId="77777777" w:rsidR="00AC605E" w:rsidRPr="00AE5182" w:rsidRDefault="00AC605E" w:rsidP="00AE5182">
      <w:pPr>
        <w:pStyle w:val="ListeNumaras"/>
        <w:tabs>
          <w:tab w:val="num" w:pos="360"/>
        </w:tabs>
        <w:spacing w:after="100" w:line="360" w:lineRule="auto"/>
        <w:ind w:left="360" w:hanging="360"/>
        <w:rPr>
          <w:szCs w:val="24"/>
        </w:rPr>
      </w:pPr>
      <w:r w:rsidRPr="00AE5182">
        <w:rPr>
          <w:szCs w:val="24"/>
        </w:rPr>
        <w:t>Governments should assess revenue gains alongside compliance costs and enforcement capacity.</w:t>
      </w:r>
    </w:p>
    <w:p w14:paraId="1D66A426" w14:textId="1FA93517" w:rsidR="00F07748" w:rsidRPr="00AE5182" w:rsidRDefault="00000000" w:rsidP="00AE5182">
      <w:pPr>
        <w:spacing w:line="360" w:lineRule="auto"/>
        <w:jc w:val="both"/>
        <w:rPr>
          <w:rFonts w:ascii="Times New Roman" w:hAnsi="Times New Roman" w:cs="Times New Roman"/>
          <w:sz w:val="24"/>
          <w:szCs w:val="24"/>
        </w:rPr>
        <w:sectPr w:rsidR="00F07748" w:rsidRPr="00AE5182">
          <w:type w:val="continuous"/>
          <w:pgSz w:w="11910" w:h="16840"/>
          <w:pgMar w:top="560" w:right="425" w:bottom="280" w:left="425" w:header="708" w:footer="708" w:gutter="0"/>
          <w:cols w:num="2" w:space="708" w:equalWidth="0">
            <w:col w:w="3180" w:space="325"/>
            <w:col w:w="7555"/>
          </w:cols>
        </w:sectPr>
      </w:pPr>
      <w:r w:rsidRPr="00AE5182">
        <w:rPr>
          <w:rFonts w:ascii="Times New Roman" w:hAnsi="Times New Roman" w:cs="Times New Roman"/>
          <w:sz w:val="24"/>
          <w:szCs w:val="24"/>
        </w:rPr>
        <w:br w:type="column"/>
      </w:r>
      <w:r w:rsidR="00651030" w:rsidRPr="00AE5182">
        <w:rPr>
          <w:rFonts w:ascii="Times New Roman" w:hAnsi="Times New Roman" w:cs="Times New Roman"/>
          <w:color w:val="131615"/>
          <w:sz w:val="24"/>
          <w:szCs w:val="24"/>
          <w:shd w:val="clear" w:color="auto" w:fill="FFFFFF"/>
        </w:rPr>
        <w:t>Profit shifting by multinational enterprises can erode government revenues by reporting profits in countries where the actual activity is carried out only to a limited extent. At the same time, governments need to promote investment in their countries. By concluding international agreements, governments can reduce the scope for profit shifting and encourage tax compliant behavior by companies. However, such agreements only have the desired effect if the agreed rules are applied consistently and in a practical manner. In addition to this, there are limits to the information available and the administrative capacity that is required to uncover and to counter aggressive tax planning. This brief deals with the potential of coordinated minimum taxation, extended reporting requirements and improved information exchange as well as strengthened tax administration. Governments should be able to identify artificial constructions and to collect the revenue to which they are entitled, while at the same time clear rules are laid down for genuine business activity. The effectiveness of reform should be measured against the revenue gained, the costs of implementation and the ability of countries to apply the new rules</w:t>
      </w:r>
      <w:r w:rsidR="00AE5182">
        <w:rPr>
          <w:rFonts w:ascii="Times New Roman" w:hAnsi="Times New Roman" w:cs="Times New Roman"/>
          <w:color w:val="131615"/>
          <w:sz w:val="24"/>
          <w:szCs w:val="24"/>
          <w:shd w:val="clear" w:color="auto" w:fill="FFFFFF"/>
        </w:rPr>
        <w:t>.</w:t>
      </w:r>
    </w:p>
    <w:p w14:paraId="656C0572" w14:textId="77777777" w:rsidR="00F07748" w:rsidRPr="00AE5182" w:rsidRDefault="00F07748" w:rsidP="00AE5182">
      <w:pPr>
        <w:pStyle w:val="GvdeMetni"/>
        <w:spacing w:line="360" w:lineRule="auto"/>
        <w:rPr>
          <w:rFonts w:ascii="Times New Roman" w:hAnsi="Times New Roman" w:cs="Times New Roman"/>
          <w:sz w:val="24"/>
          <w:szCs w:val="24"/>
        </w:rPr>
      </w:pPr>
    </w:p>
    <w:p w14:paraId="05D8D2F4" w14:textId="3C7970BE" w:rsidR="00F07748" w:rsidRPr="00AE5182" w:rsidRDefault="00E3653A" w:rsidP="00AE5182">
      <w:pPr>
        <w:pStyle w:val="GvdeMetni"/>
        <w:spacing w:before="179" w:line="360" w:lineRule="auto"/>
        <w:rPr>
          <w:rFonts w:ascii="Times New Roman" w:hAnsi="Times New Roman" w:cs="Times New Roman"/>
          <w:sz w:val="24"/>
          <w:szCs w:val="24"/>
        </w:rPr>
      </w:pPr>
      <w:r w:rsidRPr="00AE5182">
        <w:rPr>
          <w:rFonts w:ascii="Times New Roman" w:hAnsi="Times New Roman" w:cs="Times New Roman"/>
          <w:noProof/>
          <w:sz w:val="24"/>
          <w:szCs w:val="24"/>
        </w:rPr>
        <w:drawing>
          <wp:inline distT="0" distB="0" distL="0" distR="0" wp14:anchorId="599A69EF" wp14:editId="5E049D0E">
            <wp:extent cx="6591300" cy="2064385"/>
            <wp:effectExtent l="0" t="0" r="0" b="0"/>
            <wp:docPr id="9445267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26791" name=""/>
                    <pic:cNvPicPr/>
                  </pic:nvPicPr>
                  <pic:blipFill>
                    <a:blip r:embed="rId7"/>
                    <a:stretch>
                      <a:fillRect/>
                    </a:stretch>
                  </pic:blipFill>
                  <pic:spPr>
                    <a:xfrm>
                      <a:off x="0" y="0"/>
                      <a:ext cx="6607542" cy="2069472"/>
                    </a:xfrm>
                    <a:prstGeom prst="rect">
                      <a:avLst/>
                    </a:prstGeom>
                  </pic:spPr>
                </pic:pic>
              </a:graphicData>
            </a:graphic>
          </wp:inline>
        </w:drawing>
      </w:r>
      <w:r w:rsidRPr="00AE5182">
        <w:rPr>
          <w:rFonts w:ascii="Times New Roman" w:hAnsi="Times New Roman" w:cs="Times New Roman"/>
          <w:sz w:val="24"/>
          <w:szCs w:val="24"/>
        </w:rPr>
        <w:t>(4</w:t>
      </w:r>
      <w:r w:rsidR="00AE5182">
        <w:rPr>
          <w:rFonts w:ascii="Times New Roman" w:hAnsi="Times New Roman" w:cs="Times New Roman"/>
          <w:sz w:val="24"/>
          <w:szCs w:val="24"/>
        </w:rPr>
        <w:t>)</w:t>
      </w:r>
      <w:r w:rsidRPr="00AE5182">
        <w:rPr>
          <w:rFonts w:ascii="Times New Roman" w:hAnsi="Times New Roman" w:cs="Times New Roman"/>
          <w:position w:val="6"/>
          <w:sz w:val="24"/>
          <w:szCs w:val="24"/>
        </w:rPr>
        <w:tab/>
      </w:r>
    </w:p>
    <w:p w14:paraId="6A219C6D" w14:textId="77777777" w:rsidR="00F07748" w:rsidRPr="00AE5182" w:rsidRDefault="00F07748" w:rsidP="00AE5182">
      <w:pPr>
        <w:spacing w:line="360" w:lineRule="auto"/>
        <w:rPr>
          <w:rFonts w:ascii="Times New Roman" w:hAnsi="Times New Roman" w:cs="Times New Roman"/>
          <w:position w:val="2"/>
          <w:sz w:val="24"/>
          <w:szCs w:val="24"/>
        </w:rPr>
        <w:sectPr w:rsidR="00F07748" w:rsidRPr="00AE5182">
          <w:type w:val="continuous"/>
          <w:pgSz w:w="11910" w:h="16840"/>
          <w:pgMar w:top="560" w:right="425" w:bottom="280" w:left="425" w:header="708" w:footer="708" w:gutter="0"/>
          <w:cols w:space="708"/>
        </w:sectPr>
      </w:pPr>
    </w:p>
    <w:p w14:paraId="29AFAAE2" w14:textId="632E4915" w:rsidR="00635BF7" w:rsidRPr="00AE5182" w:rsidRDefault="00000000" w:rsidP="00AE5182">
      <w:pPr>
        <w:spacing w:line="360" w:lineRule="auto"/>
        <w:ind w:left="150" w:right="-72"/>
        <w:rPr>
          <w:rFonts w:ascii="Times New Roman" w:hAnsi="Times New Roman" w:cs="Times New Roman"/>
          <w:sz w:val="24"/>
          <w:szCs w:val="24"/>
        </w:rPr>
      </w:pPr>
      <w:r w:rsidRPr="00AE5182">
        <w:rPr>
          <w:rFonts w:ascii="Times New Roman" w:hAnsi="Times New Roman" w:cs="Times New Roman"/>
          <w:noProof/>
          <w:sz w:val="24"/>
          <w:szCs w:val="24"/>
        </w:rPr>
        <w:lastRenderedPageBreak/>
        <mc:AlternateContent>
          <mc:Choice Requires="wps">
            <w:drawing>
              <wp:inline distT="0" distB="0" distL="0" distR="0" wp14:anchorId="70D2136D" wp14:editId="464024BF">
                <wp:extent cx="3334385" cy="61849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5A16AB62" w14:textId="57F30426" w:rsidR="00F07748" w:rsidRDefault="001C2CB1">
                            <w:pPr>
                              <w:tabs>
                                <w:tab w:val="left" w:pos="3433"/>
                              </w:tabs>
                              <w:spacing w:before="236"/>
                              <w:ind w:left="145"/>
                              <w:rPr>
                                <w:color w:val="000000"/>
                                <w:sz w:val="44"/>
                              </w:rPr>
                            </w:pPr>
                            <w:r>
                              <w:rPr>
                                <w:color w:val="FFFFFF"/>
                                <w:spacing w:val="-2"/>
                                <w:sz w:val="44"/>
                              </w:rPr>
                              <w:t xml:space="preserve">POLICY </w:t>
                            </w:r>
                            <w:r w:rsidR="00000000">
                              <w:rPr>
                                <w:color w:val="FFFFFF"/>
                                <w:spacing w:val="-2"/>
                                <w:sz w:val="44"/>
                              </w:rPr>
                              <w:t>BRIEF</w:t>
                            </w:r>
                            <w:r w:rsidR="00000000">
                              <w:rPr>
                                <w:color w:val="FFFFFF"/>
                                <w:sz w:val="44"/>
                              </w:rPr>
                              <w:tab/>
                              <w:t>202</w:t>
                            </w:r>
                            <w:r w:rsidR="00FD5E9A">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sidR="00000000">
                              <w:rPr>
                                <w:color w:val="FFFFFF"/>
                                <w:spacing w:val="-10"/>
                                <w:sz w:val="44"/>
                              </w:rPr>
                              <w:t>1</w:t>
                            </w:r>
                          </w:p>
                        </w:txbxContent>
                      </wps:txbx>
                      <wps:bodyPr wrap="square" lIns="0" tIns="0" rIns="0" bIns="0" rtlCol="0">
                        <a:noAutofit/>
                      </wps:bodyPr>
                    </wps:wsp>
                  </a:graphicData>
                </a:graphic>
              </wp:inline>
            </w:drawing>
          </mc:Choice>
          <mc:Fallback>
            <w:pict>
              <v:shape w14:anchorId="70D2136D" id="Textbox 10"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" fillcolor="#073779" stroked="f">
                <v:textbox inset="0,0,0,0">
                  <w:txbxContent>
                    <w:p w14:paraId="5A16AB62" w14:textId="57F30426" w:rsidR="00F07748" w:rsidRDefault="001C2CB1">
                      <w:pPr>
                        <w:tabs>
                          <w:tab w:val="left" w:pos="3433"/>
                        </w:tabs>
                        <w:spacing w:before="236"/>
                        <w:ind w:left="145"/>
                        <w:rPr>
                          <w:color w:val="000000"/>
                          <w:sz w:val="44"/>
                        </w:rPr>
                      </w:pPr>
                      <w:r>
                        <w:rPr>
                          <w:color w:val="FFFFFF"/>
                          <w:spacing w:val="-2"/>
                          <w:sz w:val="44"/>
                        </w:rPr>
                        <w:t xml:space="preserve">POLICY </w:t>
                      </w:r>
                      <w:r w:rsidR="00000000">
                        <w:rPr>
                          <w:color w:val="FFFFFF"/>
                          <w:spacing w:val="-2"/>
                          <w:sz w:val="44"/>
                        </w:rPr>
                        <w:t>BRIEF</w:t>
                      </w:r>
                      <w:r w:rsidR="00000000">
                        <w:rPr>
                          <w:color w:val="FFFFFF"/>
                          <w:sz w:val="44"/>
                        </w:rPr>
                        <w:tab/>
                        <w:t>202</w:t>
                      </w:r>
                      <w:r w:rsidR="00FD5E9A">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sidR="00000000">
                        <w:rPr>
                          <w:color w:val="FFFFFF"/>
                          <w:spacing w:val="-10"/>
                          <w:sz w:val="44"/>
                        </w:rPr>
                        <w:t>1</w:t>
                      </w:r>
                    </w:p>
                  </w:txbxContent>
                </v:textbox>
                <w10:anchorlock/>
              </v:shape>
            </w:pict>
          </mc:Fallback>
        </mc:AlternateContent>
      </w:r>
    </w:p>
    <w:p w14:paraId="369A07D2" w14:textId="77777777" w:rsidR="00AC605E" w:rsidRPr="00AE5182" w:rsidRDefault="00AC605E" w:rsidP="00AE5182">
      <w:pPr>
        <w:pStyle w:val="Balk1"/>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PROFIT SHIFTING AND LOST TAX REVENUE</w:t>
      </w:r>
    </w:p>
    <w:p w14:paraId="2E3C6812" w14:textId="77777777" w:rsidR="00FD5E9A" w:rsidRPr="00AE5182" w:rsidRDefault="00FD5E9A" w:rsidP="00AE5182">
      <w:pPr>
        <w:pStyle w:val="GvdeMetni"/>
        <w:spacing w:before="20" w:line="360" w:lineRule="auto"/>
        <w:ind w:left="299" w:right="41"/>
        <w:jc w:val="both"/>
        <w:rPr>
          <w:rFonts w:ascii="Times New Roman" w:hAnsi="Times New Roman" w:cs="Times New Roman"/>
          <w:sz w:val="24"/>
          <w:szCs w:val="24"/>
        </w:rPr>
      </w:pPr>
    </w:p>
    <w:p w14:paraId="3059976E" w14:textId="77777777" w:rsidR="00651030" w:rsidRPr="00AE5182" w:rsidRDefault="00651030" w:rsidP="00AE5182">
      <w:pPr>
        <w:pStyle w:val="Balk1"/>
        <w:spacing w:line="360" w:lineRule="auto"/>
        <w:rPr>
          <w:rFonts w:ascii="Times New Roman" w:hAnsi="Times New Roman" w:cs="Times New Roman"/>
          <w:b w:val="0"/>
          <w:bCs w:val="0"/>
          <w:color w:val="131615"/>
          <w:sz w:val="24"/>
          <w:szCs w:val="24"/>
          <w:shd w:val="clear" w:color="auto" w:fill="FFFFFF"/>
        </w:rPr>
      </w:pPr>
      <w:r w:rsidRPr="00AE5182">
        <w:rPr>
          <w:rFonts w:ascii="Times New Roman" w:hAnsi="Times New Roman" w:cs="Times New Roman"/>
          <w:b w:val="0"/>
          <w:bCs w:val="0"/>
          <w:color w:val="131615"/>
          <w:sz w:val="24"/>
          <w:szCs w:val="24"/>
          <w:shd w:val="clear" w:color="auto" w:fill="FFFFFF"/>
        </w:rPr>
        <w:t xml:space="preserve">Profit shifting enables multinational enterprises to create groups where total taxes are lower than if all units were taxed at the level of their country of residence. Profits can be shifted to countries with low tax rates by exploiting three main channels of profit shifting: intragroup debt, intangible assets and transfer pricing. </w:t>
      </w:r>
      <w:proofErr w:type="gramStart"/>
      <w:r w:rsidRPr="00AE5182">
        <w:rPr>
          <w:rFonts w:ascii="Times New Roman" w:hAnsi="Times New Roman" w:cs="Times New Roman"/>
          <w:b w:val="0"/>
          <w:bCs w:val="0"/>
          <w:color w:val="131615"/>
          <w:sz w:val="24"/>
          <w:szCs w:val="24"/>
          <w:shd w:val="clear" w:color="auto" w:fill="FFFFFF"/>
        </w:rPr>
        <w:t>(1) Needless to say, all</w:t>
      </w:r>
      <w:proofErr w:type="gramEnd"/>
      <w:r w:rsidRPr="00AE5182">
        <w:rPr>
          <w:rFonts w:ascii="Times New Roman" w:hAnsi="Times New Roman" w:cs="Times New Roman"/>
          <w:b w:val="0"/>
          <w:bCs w:val="0"/>
          <w:color w:val="131615"/>
          <w:sz w:val="24"/>
          <w:szCs w:val="24"/>
          <w:shd w:val="clear" w:color="auto" w:fill="FFFFFF"/>
        </w:rPr>
        <w:t xml:space="preserve"> cross-border transactions are also loans, Intellectual Property or payments between associated enterprises, which need to be assessed </w:t>
      </w:r>
      <w:proofErr w:type="gramStart"/>
      <w:r w:rsidRPr="00AE5182">
        <w:rPr>
          <w:rFonts w:ascii="Times New Roman" w:hAnsi="Times New Roman" w:cs="Times New Roman"/>
          <w:b w:val="0"/>
          <w:bCs w:val="0"/>
          <w:color w:val="131615"/>
          <w:sz w:val="24"/>
          <w:szCs w:val="24"/>
          <w:shd w:val="clear" w:color="auto" w:fill="FFFFFF"/>
        </w:rPr>
        <w:t>in order to</w:t>
      </w:r>
      <w:proofErr w:type="gramEnd"/>
      <w:r w:rsidRPr="00AE5182">
        <w:rPr>
          <w:rFonts w:ascii="Times New Roman" w:hAnsi="Times New Roman" w:cs="Times New Roman"/>
          <w:b w:val="0"/>
          <w:bCs w:val="0"/>
          <w:color w:val="131615"/>
          <w:sz w:val="24"/>
          <w:szCs w:val="24"/>
          <w:shd w:val="clear" w:color="auto" w:fill="FFFFFF"/>
        </w:rPr>
        <w:t xml:space="preserve"> distinguish between Sound and aggressive taxation. Using historical investment stock data for 79 countries the 2019 paper estimates approximately US$420 billion in shifted profits and corresponding losses in tax revenues of at least US$125 billion every year. Importantly, these figures are based on a sample of countries, not the total number of countries world-wide. A policy response aimed at preventing loss of public revenues should thus focus on detecting artificial arrangements rather than implying that all cross-border transactions between affiliated enterprises are abusive.</w:t>
      </w:r>
    </w:p>
    <w:p w14:paraId="0FE5A0F2" w14:textId="77777777" w:rsidR="00651030" w:rsidRPr="00AE5182" w:rsidRDefault="00651030" w:rsidP="00AE5182">
      <w:pPr>
        <w:pStyle w:val="Balk1"/>
        <w:spacing w:line="360" w:lineRule="auto"/>
        <w:rPr>
          <w:rFonts w:ascii="Times New Roman" w:hAnsi="Times New Roman" w:cs="Times New Roman"/>
          <w:b w:val="0"/>
          <w:bCs w:val="0"/>
          <w:color w:val="131615"/>
          <w:sz w:val="24"/>
          <w:szCs w:val="24"/>
          <w:shd w:val="clear" w:color="auto" w:fill="FFFFFF"/>
        </w:rPr>
      </w:pPr>
    </w:p>
    <w:p w14:paraId="02775AD3" w14:textId="77777777" w:rsidR="00AE5182" w:rsidRDefault="00AE5182" w:rsidP="00AE5182">
      <w:pPr>
        <w:pStyle w:val="Balk1"/>
        <w:spacing w:line="360" w:lineRule="auto"/>
        <w:rPr>
          <w:rFonts w:ascii="Times New Roman" w:hAnsi="Times New Roman" w:cs="Times New Roman"/>
          <w:color w:val="103D76"/>
          <w:sz w:val="24"/>
          <w:szCs w:val="24"/>
        </w:rPr>
      </w:pPr>
    </w:p>
    <w:p w14:paraId="4000E8DD" w14:textId="77777777" w:rsidR="00AE5182" w:rsidRDefault="00AE5182" w:rsidP="00AE5182">
      <w:pPr>
        <w:pStyle w:val="Balk1"/>
        <w:spacing w:line="360" w:lineRule="auto"/>
        <w:rPr>
          <w:rFonts w:ascii="Times New Roman" w:hAnsi="Times New Roman" w:cs="Times New Roman"/>
          <w:color w:val="103D76"/>
          <w:sz w:val="24"/>
          <w:szCs w:val="24"/>
        </w:rPr>
      </w:pPr>
    </w:p>
    <w:p w14:paraId="50DAE593" w14:textId="77777777" w:rsidR="00AE5182" w:rsidRDefault="00AE5182" w:rsidP="00AE5182">
      <w:pPr>
        <w:pStyle w:val="Balk1"/>
        <w:spacing w:line="360" w:lineRule="auto"/>
        <w:rPr>
          <w:rFonts w:ascii="Times New Roman" w:hAnsi="Times New Roman" w:cs="Times New Roman"/>
          <w:color w:val="103D76"/>
          <w:sz w:val="24"/>
          <w:szCs w:val="24"/>
        </w:rPr>
      </w:pPr>
    </w:p>
    <w:p w14:paraId="15532EFE" w14:textId="77777777" w:rsidR="00AE5182" w:rsidRDefault="00AE5182" w:rsidP="00AE5182">
      <w:pPr>
        <w:pStyle w:val="Balk1"/>
        <w:spacing w:line="360" w:lineRule="auto"/>
        <w:rPr>
          <w:rFonts w:ascii="Times New Roman" w:hAnsi="Times New Roman" w:cs="Times New Roman"/>
          <w:color w:val="103D76"/>
          <w:sz w:val="24"/>
          <w:szCs w:val="24"/>
        </w:rPr>
      </w:pPr>
    </w:p>
    <w:p w14:paraId="008678C5" w14:textId="77777777" w:rsidR="00AE5182" w:rsidRDefault="00AE5182" w:rsidP="00AE5182">
      <w:pPr>
        <w:pStyle w:val="Balk1"/>
        <w:spacing w:line="360" w:lineRule="auto"/>
        <w:rPr>
          <w:rFonts w:ascii="Times New Roman" w:hAnsi="Times New Roman" w:cs="Times New Roman"/>
          <w:color w:val="103D76"/>
          <w:sz w:val="24"/>
          <w:szCs w:val="24"/>
        </w:rPr>
      </w:pPr>
    </w:p>
    <w:p w14:paraId="74133B2B" w14:textId="77777777" w:rsidR="00AE5182" w:rsidRDefault="00AE5182" w:rsidP="00AE5182">
      <w:pPr>
        <w:pStyle w:val="Balk1"/>
        <w:spacing w:line="360" w:lineRule="auto"/>
        <w:rPr>
          <w:rFonts w:ascii="Times New Roman" w:hAnsi="Times New Roman" w:cs="Times New Roman"/>
          <w:color w:val="103D76"/>
          <w:sz w:val="24"/>
          <w:szCs w:val="24"/>
        </w:rPr>
      </w:pPr>
    </w:p>
    <w:p w14:paraId="2E8B31C0" w14:textId="77777777" w:rsidR="00AE5182" w:rsidRDefault="00AE5182" w:rsidP="00AE5182">
      <w:pPr>
        <w:pStyle w:val="Balk1"/>
        <w:spacing w:line="360" w:lineRule="auto"/>
        <w:rPr>
          <w:rFonts w:ascii="Times New Roman" w:hAnsi="Times New Roman" w:cs="Times New Roman"/>
          <w:color w:val="103D76"/>
          <w:sz w:val="24"/>
          <w:szCs w:val="24"/>
        </w:rPr>
      </w:pPr>
    </w:p>
    <w:p w14:paraId="7F8D057D" w14:textId="77777777" w:rsidR="00AE5182" w:rsidRDefault="00AE5182" w:rsidP="00AE5182">
      <w:pPr>
        <w:pStyle w:val="Balk1"/>
        <w:spacing w:line="360" w:lineRule="auto"/>
        <w:rPr>
          <w:rFonts w:ascii="Times New Roman" w:hAnsi="Times New Roman" w:cs="Times New Roman"/>
          <w:color w:val="103D76"/>
          <w:sz w:val="24"/>
          <w:szCs w:val="24"/>
        </w:rPr>
      </w:pPr>
    </w:p>
    <w:p w14:paraId="26C92C60" w14:textId="77777777" w:rsidR="00AE5182" w:rsidRDefault="00AE5182" w:rsidP="00AE5182">
      <w:pPr>
        <w:pStyle w:val="Balk1"/>
        <w:spacing w:line="360" w:lineRule="auto"/>
        <w:rPr>
          <w:rFonts w:ascii="Times New Roman" w:hAnsi="Times New Roman" w:cs="Times New Roman"/>
          <w:color w:val="103D76"/>
          <w:sz w:val="24"/>
          <w:szCs w:val="24"/>
        </w:rPr>
      </w:pPr>
    </w:p>
    <w:p w14:paraId="4A5C4D8F" w14:textId="77777777" w:rsidR="00AE5182" w:rsidRDefault="00AE5182" w:rsidP="00AE5182">
      <w:pPr>
        <w:pStyle w:val="Balk1"/>
        <w:spacing w:line="360" w:lineRule="auto"/>
        <w:rPr>
          <w:rFonts w:ascii="Times New Roman" w:hAnsi="Times New Roman" w:cs="Times New Roman"/>
          <w:color w:val="103D76"/>
          <w:sz w:val="24"/>
          <w:szCs w:val="24"/>
        </w:rPr>
      </w:pPr>
    </w:p>
    <w:p w14:paraId="715877F4" w14:textId="0EB82B28" w:rsidR="00651030" w:rsidRPr="00AE5182" w:rsidRDefault="00AC605E" w:rsidP="00AE5182">
      <w:pPr>
        <w:pStyle w:val="Balk1"/>
        <w:spacing w:line="360" w:lineRule="auto"/>
        <w:rPr>
          <w:rFonts w:ascii="Times New Roman" w:hAnsi="Times New Roman" w:cs="Times New Roman"/>
          <w:color w:val="103D76"/>
          <w:sz w:val="24"/>
          <w:szCs w:val="24"/>
        </w:rPr>
      </w:pPr>
      <w:r w:rsidRPr="00AE5182">
        <w:rPr>
          <w:rFonts w:ascii="Times New Roman" w:hAnsi="Times New Roman" w:cs="Times New Roman"/>
          <w:color w:val="103D76"/>
          <w:sz w:val="24"/>
          <w:szCs w:val="24"/>
        </w:rPr>
        <w:t>WHY CURRENT RESPONSES ARE NOT ENOUGH</w:t>
      </w:r>
    </w:p>
    <w:p w14:paraId="14B52139" w14:textId="77777777" w:rsidR="00651030" w:rsidRPr="00AE5182" w:rsidRDefault="00651030" w:rsidP="00AE5182">
      <w:pPr>
        <w:pStyle w:val="Balk1"/>
        <w:spacing w:line="360" w:lineRule="auto"/>
        <w:rPr>
          <w:rFonts w:ascii="Times New Roman" w:hAnsi="Times New Roman" w:cs="Times New Roman"/>
          <w:color w:val="103D76"/>
          <w:sz w:val="24"/>
          <w:szCs w:val="24"/>
        </w:rPr>
      </w:pPr>
    </w:p>
    <w:p w14:paraId="5C0CCA4D" w14:textId="1F237667" w:rsidR="00C379D7" w:rsidRPr="00AE5182" w:rsidRDefault="00AC605E" w:rsidP="00AE5182">
      <w:pPr>
        <w:pStyle w:val="Balk2"/>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TAX COMPETITION AND FRAGMENTED RULES</w:t>
      </w:r>
    </w:p>
    <w:p w14:paraId="0ADA015B" w14:textId="5E16C793" w:rsidR="00E3653A" w:rsidRPr="00AE5182" w:rsidRDefault="00651030" w:rsidP="00AE5182">
      <w:pPr>
        <w:spacing w:line="360" w:lineRule="auto"/>
        <w:jc w:val="both"/>
        <w:rPr>
          <w:rFonts w:ascii="Times New Roman" w:hAnsi="Times New Roman" w:cs="Times New Roman"/>
          <w:sz w:val="24"/>
          <w:szCs w:val="24"/>
        </w:rPr>
      </w:pPr>
      <w:r w:rsidRPr="00AE5182">
        <w:rPr>
          <w:rFonts w:ascii="Times New Roman" w:hAnsi="Times New Roman" w:cs="Times New Roman"/>
          <w:color w:val="131615"/>
          <w:sz w:val="24"/>
          <w:szCs w:val="24"/>
          <w:shd w:val="clear" w:color="auto" w:fill="FFFFFF"/>
        </w:rPr>
        <w:t xml:space="preserve">Avi-Yonah and Kim show how countries compete for mobile capital by lowering their effective corporate tax rates. They analyze Pillar Two’s minimum effective tax rate (METR) of 15% and arrive at the conclusion that it is intended to put a floor on the downward competition to cut corporate tax rates. This is a collective action problem as a single government may fear losing investment while multinationals can easily organize their worldwide operations to be carried out through several countries. Their 2022 article furthermore detailed the existing framework of the BEPS rules, including a €750 million revenue threshold, </w:t>
      </w:r>
      <w:proofErr w:type="gramStart"/>
      <w:r w:rsidRPr="00AE5182">
        <w:rPr>
          <w:rFonts w:ascii="Times New Roman" w:hAnsi="Times New Roman" w:cs="Times New Roman"/>
          <w:color w:val="131615"/>
          <w:sz w:val="24"/>
          <w:szCs w:val="24"/>
          <w:shd w:val="clear" w:color="auto" w:fill="FFFFFF"/>
        </w:rPr>
        <w:t>a number of</w:t>
      </w:r>
      <w:proofErr w:type="gramEnd"/>
      <w:r w:rsidRPr="00AE5182">
        <w:rPr>
          <w:rFonts w:ascii="Times New Roman" w:hAnsi="Times New Roman" w:cs="Times New Roman"/>
          <w:color w:val="131615"/>
          <w:sz w:val="24"/>
          <w:szCs w:val="24"/>
          <w:shd w:val="clear" w:color="auto" w:fill="FFFFFF"/>
        </w:rPr>
        <w:t xml:space="preserve"> substance-based exclusions and other exceptions. While concessions will weaken tax coordination in general, the design of effective tax coordination furthermore requires more than a collective agreement on a headline rate. In addition to setting the tax base, all exceptions must also be coordinated between the participating jurisdictions. This brief does not aim to describe all currently applicable rules in detail.</w:t>
      </w:r>
    </w:p>
    <w:p w14:paraId="20A6D69C" w14:textId="77777777" w:rsidR="00E3653A" w:rsidRDefault="00E3653A" w:rsidP="00AE5182">
      <w:pPr>
        <w:spacing w:line="360" w:lineRule="auto"/>
        <w:jc w:val="both"/>
        <w:rPr>
          <w:rFonts w:ascii="Times New Roman" w:hAnsi="Times New Roman" w:cs="Times New Roman"/>
          <w:sz w:val="24"/>
          <w:szCs w:val="24"/>
        </w:rPr>
      </w:pPr>
    </w:p>
    <w:p w14:paraId="09F59A7A" w14:textId="77777777" w:rsidR="00AE5182" w:rsidRDefault="00AE5182" w:rsidP="00AE5182">
      <w:pPr>
        <w:spacing w:line="360" w:lineRule="auto"/>
        <w:jc w:val="both"/>
        <w:rPr>
          <w:rFonts w:ascii="Times New Roman" w:hAnsi="Times New Roman" w:cs="Times New Roman"/>
          <w:sz w:val="24"/>
          <w:szCs w:val="24"/>
        </w:rPr>
      </w:pPr>
    </w:p>
    <w:p w14:paraId="1AA38C5C" w14:textId="77777777" w:rsidR="00AE5182" w:rsidRDefault="00AE5182" w:rsidP="00AE5182">
      <w:pPr>
        <w:spacing w:line="360" w:lineRule="auto"/>
        <w:jc w:val="both"/>
        <w:rPr>
          <w:rFonts w:ascii="Times New Roman" w:hAnsi="Times New Roman" w:cs="Times New Roman"/>
          <w:sz w:val="24"/>
          <w:szCs w:val="24"/>
        </w:rPr>
      </w:pPr>
    </w:p>
    <w:p w14:paraId="00F80A57" w14:textId="77777777" w:rsidR="00AE5182" w:rsidRDefault="00AE5182" w:rsidP="00AE5182">
      <w:pPr>
        <w:spacing w:line="360" w:lineRule="auto"/>
        <w:jc w:val="both"/>
        <w:rPr>
          <w:rFonts w:ascii="Times New Roman" w:hAnsi="Times New Roman" w:cs="Times New Roman"/>
          <w:sz w:val="24"/>
          <w:szCs w:val="24"/>
        </w:rPr>
      </w:pPr>
    </w:p>
    <w:p w14:paraId="1D741BFC" w14:textId="77777777" w:rsidR="00AE5182" w:rsidRDefault="00AE5182" w:rsidP="00AE5182">
      <w:pPr>
        <w:spacing w:line="360" w:lineRule="auto"/>
        <w:jc w:val="both"/>
        <w:rPr>
          <w:rFonts w:ascii="Times New Roman" w:hAnsi="Times New Roman" w:cs="Times New Roman"/>
          <w:sz w:val="24"/>
          <w:szCs w:val="24"/>
        </w:rPr>
      </w:pPr>
    </w:p>
    <w:p w14:paraId="7B133896" w14:textId="77777777" w:rsidR="00AE5182" w:rsidRDefault="00AE5182" w:rsidP="00AE5182">
      <w:pPr>
        <w:spacing w:line="360" w:lineRule="auto"/>
        <w:jc w:val="both"/>
        <w:rPr>
          <w:rFonts w:ascii="Times New Roman" w:hAnsi="Times New Roman" w:cs="Times New Roman"/>
          <w:sz w:val="24"/>
          <w:szCs w:val="24"/>
        </w:rPr>
      </w:pPr>
    </w:p>
    <w:p w14:paraId="5214F0C2" w14:textId="77777777" w:rsidR="00AE5182" w:rsidRDefault="00AE5182" w:rsidP="00AE5182">
      <w:pPr>
        <w:spacing w:line="360" w:lineRule="auto"/>
        <w:jc w:val="both"/>
        <w:rPr>
          <w:rFonts w:ascii="Times New Roman" w:hAnsi="Times New Roman" w:cs="Times New Roman"/>
          <w:sz w:val="24"/>
          <w:szCs w:val="24"/>
        </w:rPr>
      </w:pPr>
    </w:p>
    <w:p w14:paraId="2DED13B5" w14:textId="77777777" w:rsidR="00AE5182" w:rsidRDefault="00AE5182" w:rsidP="00AE5182">
      <w:pPr>
        <w:spacing w:line="360" w:lineRule="auto"/>
        <w:jc w:val="both"/>
        <w:rPr>
          <w:rFonts w:ascii="Times New Roman" w:hAnsi="Times New Roman" w:cs="Times New Roman"/>
          <w:sz w:val="24"/>
          <w:szCs w:val="24"/>
        </w:rPr>
      </w:pPr>
    </w:p>
    <w:p w14:paraId="26AB085B" w14:textId="77777777" w:rsidR="00AE5182" w:rsidRDefault="00AE5182" w:rsidP="00AE5182">
      <w:pPr>
        <w:spacing w:line="360" w:lineRule="auto"/>
        <w:jc w:val="both"/>
        <w:rPr>
          <w:rFonts w:ascii="Times New Roman" w:hAnsi="Times New Roman" w:cs="Times New Roman"/>
          <w:sz w:val="24"/>
          <w:szCs w:val="24"/>
        </w:rPr>
      </w:pPr>
    </w:p>
    <w:p w14:paraId="78094405" w14:textId="77777777" w:rsidR="00AE5182" w:rsidRDefault="00AE5182" w:rsidP="00AE5182">
      <w:pPr>
        <w:spacing w:line="360" w:lineRule="auto"/>
        <w:jc w:val="both"/>
        <w:rPr>
          <w:rFonts w:ascii="Times New Roman" w:hAnsi="Times New Roman" w:cs="Times New Roman"/>
          <w:sz w:val="24"/>
          <w:szCs w:val="24"/>
        </w:rPr>
      </w:pPr>
    </w:p>
    <w:p w14:paraId="4D42E756" w14:textId="77777777" w:rsidR="00AE5182" w:rsidRDefault="00AE5182" w:rsidP="00AE5182">
      <w:pPr>
        <w:spacing w:line="360" w:lineRule="auto"/>
        <w:jc w:val="both"/>
        <w:rPr>
          <w:rFonts w:ascii="Times New Roman" w:hAnsi="Times New Roman" w:cs="Times New Roman"/>
          <w:sz w:val="24"/>
          <w:szCs w:val="24"/>
        </w:rPr>
      </w:pPr>
    </w:p>
    <w:p w14:paraId="2E9247E5" w14:textId="77777777" w:rsidR="00AE5182" w:rsidRPr="00AE5182" w:rsidRDefault="00AE5182" w:rsidP="00AE5182">
      <w:pPr>
        <w:spacing w:line="360" w:lineRule="auto"/>
        <w:jc w:val="both"/>
        <w:rPr>
          <w:rFonts w:ascii="Times New Roman" w:hAnsi="Times New Roman" w:cs="Times New Roman"/>
          <w:sz w:val="24"/>
          <w:szCs w:val="24"/>
        </w:rPr>
      </w:pPr>
    </w:p>
    <w:p w14:paraId="3590BF5E" w14:textId="1DDFF380" w:rsidR="00AC605E" w:rsidRPr="00AE5182" w:rsidRDefault="00AC605E" w:rsidP="00AE5182">
      <w:pPr>
        <w:pStyle w:val="Balk2"/>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lastRenderedPageBreak/>
        <w:t>INFORMATION GAPS AND MEASUREMENT LIMITS</w:t>
      </w:r>
    </w:p>
    <w:p w14:paraId="23D66AA6" w14:textId="77777777" w:rsidR="00E3653A" w:rsidRPr="00AE5182" w:rsidRDefault="00E3653A" w:rsidP="00AE5182">
      <w:pPr>
        <w:spacing w:line="360" w:lineRule="auto"/>
        <w:jc w:val="both"/>
        <w:rPr>
          <w:rFonts w:ascii="Times New Roman" w:hAnsi="Times New Roman" w:cs="Times New Roman"/>
          <w:sz w:val="24"/>
          <w:szCs w:val="24"/>
        </w:rPr>
      </w:pPr>
    </w:p>
    <w:p w14:paraId="588DAA98" w14:textId="23ECC77F" w:rsidR="00651030" w:rsidRDefault="00651030" w:rsidP="00AE5182">
      <w:pPr>
        <w:pStyle w:val="GvdeMetni"/>
        <w:spacing w:before="124" w:line="360" w:lineRule="auto"/>
        <w:ind w:left="299" w:right="25"/>
        <w:jc w:val="both"/>
        <w:rPr>
          <w:rFonts w:ascii="Times New Roman" w:hAnsi="Times New Roman" w:cs="Times New Roman"/>
          <w:color w:val="131615"/>
          <w:sz w:val="24"/>
          <w:szCs w:val="24"/>
          <w:shd w:val="clear" w:color="auto" w:fill="FFFFFF"/>
        </w:rPr>
      </w:pPr>
      <w:r w:rsidRPr="00AE5182">
        <w:rPr>
          <w:rFonts w:ascii="Times New Roman" w:hAnsi="Times New Roman" w:cs="Times New Roman"/>
          <w:color w:val="131615"/>
          <w:sz w:val="24"/>
          <w:szCs w:val="24"/>
          <w:shd w:val="clear" w:color="auto" w:fill="FFFFFF"/>
        </w:rPr>
        <w:t xml:space="preserve">Multinationals may conduct parts of their activities through companies that are part of a group using a </w:t>
      </w:r>
      <w:proofErr w:type="gramStart"/>
      <w:r w:rsidRPr="00AE5182">
        <w:rPr>
          <w:rFonts w:ascii="Times New Roman" w:hAnsi="Times New Roman" w:cs="Times New Roman"/>
          <w:color w:val="131615"/>
          <w:sz w:val="24"/>
          <w:szCs w:val="24"/>
          <w:shd w:val="clear" w:color="auto" w:fill="FFFFFF"/>
        </w:rPr>
        <w:t>brand, or</w:t>
      </w:r>
      <w:proofErr w:type="gramEnd"/>
      <w:r w:rsidRPr="00AE5182">
        <w:rPr>
          <w:rFonts w:ascii="Times New Roman" w:hAnsi="Times New Roman" w:cs="Times New Roman"/>
          <w:color w:val="131615"/>
          <w:sz w:val="24"/>
          <w:szCs w:val="24"/>
          <w:shd w:val="clear" w:color="auto" w:fill="FFFFFF"/>
        </w:rPr>
        <w:t xml:space="preserve"> using specific know-how or other firm-specific resources. Because of this it is often difficult to attribute income to a particular group of companies. Estimating losses of tax in developing countries </w:t>
      </w:r>
      <w:proofErr w:type="gramStart"/>
      <w:r w:rsidRPr="00AE5182">
        <w:rPr>
          <w:rFonts w:ascii="Times New Roman" w:hAnsi="Times New Roman" w:cs="Times New Roman"/>
          <w:color w:val="131615"/>
          <w:sz w:val="24"/>
          <w:szCs w:val="24"/>
          <w:shd w:val="clear" w:color="auto" w:fill="FFFFFF"/>
        </w:rPr>
        <w:t>on the basis of</w:t>
      </w:r>
      <w:proofErr w:type="gramEnd"/>
      <w:r w:rsidRPr="00AE5182">
        <w:rPr>
          <w:rFonts w:ascii="Times New Roman" w:hAnsi="Times New Roman" w:cs="Times New Roman"/>
          <w:color w:val="131615"/>
          <w:sz w:val="24"/>
          <w:szCs w:val="24"/>
          <w:shd w:val="clear" w:color="auto" w:fill="FFFFFF"/>
        </w:rPr>
        <w:t xml:space="preserve"> available data with the use of necessary assumptions is also problematic. More than the low profit before tax reported by a </w:t>
      </w:r>
      <w:proofErr w:type="gramStart"/>
      <w:r w:rsidRPr="00AE5182">
        <w:rPr>
          <w:rFonts w:ascii="Times New Roman" w:hAnsi="Times New Roman" w:cs="Times New Roman"/>
          <w:color w:val="131615"/>
          <w:sz w:val="24"/>
          <w:szCs w:val="24"/>
          <w:shd w:val="clear" w:color="auto" w:fill="FFFFFF"/>
        </w:rPr>
        <w:t>company</w:t>
      </w:r>
      <w:proofErr w:type="gramEnd"/>
      <w:r w:rsidRPr="00AE5182">
        <w:rPr>
          <w:rFonts w:ascii="Times New Roman" w:hAnsi="Times New Roman" w:cs="Times New Roman"/>
          <w:color w:val="131615"/>
          <w:sz w:val="24"/>
          <w:szCs w:val="24"/>
          <w:shd w:val="clear" w:color="auto" w:fill="FFFFFF"/>
        </w:rPr>
        <w:t xml:space="preserve"> therefore is needed to conclude that abusive structures are in place. Studies such as </w:t>
      </w:r>
      <w:proofErr w:type="spellStart"/>
      <w:r w:rsidRPr="00AE5182">
        <w:rPr>
          <w:rFonts w:ascii="Times New Roman" w:hAnsi="Times New Roman" w:cs="Times New Roman"/>
          <w:color w:val="131615"/>
          <w:sz w:val="24"/>
          <w:szCs w:val="24"/>
          <w:shd w:val="clear" w:color="auto" w:fill="FFFFFF"/>
        </w:rPr>
        <w:t>Janský</w:t>
      </w:r>
      <w:proofErr w:type="spellEnd"/>
      <w:r w:rsidRPr="00AE5182">
        <w:rPr>
          <w:rFonts w:ascii="Times New Roman" w:hAnsi="Times New Roman" w:cs="Times New Roman"/>
          <w:color w:val="131615"/>
          <w:sz w:val="24"/>
          <w:szCs w:val="24"/>
          <w:shd w:val="clear" w:color="auto" w:fill="FFFFFF"/>
        </w:rPr>
        <w:t xml:space="preserve"> and </w:t>
      </w:r>
      <w:proofErr w:type="spellStart"/>
      <w:r w:rsidRPr="00AE5182">
        <w:rPr>
          <w:rFonts w:ascii="Times New Roman" w:hAnsi="Times New Roman" w:cs="Times New Roman"/>
          <w:color w:val="131615"/>
          <w:sz w:val="24"/>
          <w:szCs w:val="24"/>
          <w:shd w:val="clear" w:color="auto" w:fill="FFFFFF"/>
        </w:rPr>
        <w:t>Palanský</w:t>
      </w:r>
      <w:proofErr w:type="spellEnd"/>
      <w:r w:rsidRPr="00AE5182">
        <w:rPr>
          <w:rFonts w:ascii="Times New Roman" w:hAnsi="Times New Roman" w:cs="Times New Roman"/>
          <w:color w:val="131615"/>
          <w:sz w:val="24"/>
          <w:szCs w:val="24"/>
          <w:shd w:val="clear" w:color="auto" w:fill="FFFFFF"/>
        </w:rPr>
        <w:t xml:space="preserve"> find limited empirical support for distributional findings of tax losses across different income groups. Importantly, a single study of global tax losses has limited applicability to individual countries’ tax gaps, and the use of </w:t>
      </w:r>
      <w:proofErr w:type="gramStart"/>
      <w:r w:rsidRPr="00AE5182">
        <w:rPr>
          <w:rFonts w:ascii="Times New Roman" w:hAnsi="Times New Roman" w:cs="Times New Roman"/>
          <w:color w:val="131615"/>
          <w:sz w:val="24"/>
          <w:szCs w:val="24"/>
          <w:shd w:val="clear" w:color="auto" w:fill="FFFFFF"/>
        </w:rPr>
        <w:t>better quality</w:t>
      </w:r>
      <w:proofErr w:type="gramEnd"/>
      <w:r w:rsidRPr="00AE5182">
        <w:rPr>
          <w:rFonts w:ascii="Times New Roman" w:hAnsi="Times New Roman" w:cs="Times New Roman"/>
          <w:color w:val="131615"/>
          <w:sz w:val="24"/>
          <w:szCs w:val="24"/>
          <w:shd w:val="clear" w:color="auto" w:fill="FFFFFF"/>
        </w:rPr>
        <w:t xml:space="preserve"> domestic data can help to pinpoint specific sectors and transactions that require greater scrutiny.</w:t>
      </w:r>
    </w:p>
    <w:p w14:paraId="0139A0B7" w14:textId="77777777" w:rsidR="00AE5182" w:rsidRPr="00AE5182" w:rsidRDefault="00AE5182" w:rsidP="00AE5182">
      <w:pPr>
        <w:pStyle w:val="GvdeMetni"/>
        <w:spacing w:before="124" w:line="360" w:lineRule="auto"/>
        <w:ind w:left="299" w:right="25"/>
        <w:jc w:val="both"/>
        <w:rPr>
          <w:rFonts w:ascii="Times New Roman" w:hAnsi="Times New Roman" w:cs="Times New Roman"/>
          <w:color w:val="131615"/>
          <w:sz w:val="24"/>
          <w:szCs w:val="24"/>
          <w:shd w:val="clear" w:color="auto" w:fill="FFFFFF"/>
        </w:rPr>
      </w:pPr>
    </w:p>
    <w:p w14:paraId="09EA4039" w14:textId="77777777" w:rsidR="00E3653A" w:rsidRPr="00AE5182" w:rsidRDefault="00E3653A" w:rsidP="00AE5182">
      <w:pPr>
        <w:pStyle w:val="Balk2"/>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IMPLEMENTATION AND ADMINISTRATIVE CAPACITY</w:t>
      </w:r>
    </w:p>
    <w:p w14:paraId="7AAE8812" w14:textId="77777777" w:rsidR="00E3653A" w:rsidRPr="00AE5182" w:rsidRDefault="00E3653A" w:rsidP="00AE5182">
      <w:pPr>
        <w:spacing w:line="360" w:lineRule="auto"/>
        <w:rPr>
          <w:rFonts w:ascii="Times New Roman" w:hAnsi="Times New Roman" w:cs="Times New Roman"/>
          <w:sz w:val="24"/>
          <w:szCs w:val="24"/>
        </w:rPr>
      </w:pPr>
    </w:p>
    <w:p w14:paraId="70987E95" w14:textId="53933D51" w:rsidR="00E3653A" w:rsidRPr="00AE5182" w:rsidRDefault="00651030" w:rsidP="00AE5182">
      <w:pPr>
        <w:pStyle w:val="GvdeMetni"/>
        <w:spacing w:before="124" w:line="360" w:lineRule="auto"/>
        <w:ind w:left="299" w:right="25"/>
        <w:jc w:val="both"/>
        <w:rPr>
          <w:rFonts w:ascii="Times New Roman" w:hAnsi="Times New Roman" w:cs="Times New Roman"/>
          <w:sz w:val="24"/>
          <w:szCs w:val="24"/>
        </w:rPr>
        <w:sectPr w:rsidR="00E3653A" w:rsidRPr="00AE5182">
          <w:footerReference w:type="default" r:id="rId8"/>
          <w:pgSz w:w="11910" w:h="16840"/>
          <w:pgMar w:top="560" w:right="425" w:bottom="740" w:left="425" w:header="0" w:footer="517" w:gutter="0"/>
          <w:pgNumType w:start="2"/>
          <w:cols w:num="2" w:space="708" w:equalWidth="0">
            <w:col w:w="5384" w:space="310"/>
            <w:col w:w="5366"/>
          </w:cols>
        </w:sectPr>
      </w:pPr>
      <w:r w:rsidRPr="00AE5182">
        <w:rPr>
          <w:rFonts w:ascii="Times New Roman" w:hAnsi="Times New Roman" w:cs="Times New Roman"/>
          <w:color w:val="131615"/>
          <w:sz w:val="24"/>
          <w:szCs w:val="24"/>
          <w:shd w:val="clear" w:color="auto" w:fill="FFFFFF"/>
        </w:rPr>
        <w:t xml:space="preserve">Avi-Yonah and Kim describe the need for international coordination as well as concerns that implementing the new rules will not be beneficial to developing countries as two of the main challenges to the successful implementation of the reforms. </w:t>
      </w:r>
      <w:proofErr w:type="gramStart"/>
      <w:r w:rsidRPr="00AE5182">
        <w:rPr>
          <w:rFonts w:ascii="Times New Roman" w:hAnsi="Times New Roman" w:cs="Times New Roman"/>
          <w:color w:val="131615"/>
          <w:sz w:val="24"/>
          <w:szCs w:val="24"/>
          <w:shd w:val="clear" w:color="auto" w:fill="FFFFFF"/>
        </w:rPr>
        <w:t>(2) Thus</w:t>
      </w:r>
      <w:proofErr w:type="gramEnd"/>
      <w:r w:rsidRPr="00AE5182">
        <w:rPr>
          <w:rFonts w:ascii="Times New Roman" w:hAnsi="Times New Roman" w:cs="Times New Roman"/>
          <w:color w:val="131615"/>
          <w:sz w:val="24"/>
          <w:szCs w:val="24"/>
          <w:shd w:val="clear" w:color="auto" w:fill="FFFFFF"/>
        </w:rPr>
        <w:t xml:space="preserve">, the revenue to be generated by these reforms </w:t>
      </w:r>
      <w:proofErr w:type="spellStart"/>
      <w:proofErr w:type="gramStart"/>
      <w:r w:rsidRPr="00AE5182">
        <w:rPr>
          <w:rFonts w:ascii="Times New Roman" w:hAnsi="Times New Roman" w:cs="Times New Roman"/>
          <w:color w:val="131615"/>
          <w:sz w:val="24"/>
          <w:szCs w:val="24"/>
          <w:shd w:val="clear" w:color="auto" w:fill="FFFFFF"/>
        </w:rPr>
        <w:t>world wide</w:t>
      </w:r>
      <w:proofErr w:type="spellEnd"/>
      <w:proofErr w:type="gramEnd"/>
      <w:r w:rsidRPr="00AE5182">
        <w:rPr>
          <w:rFonts w:ascii="Times New Roman" w:hAnsi="Times New Roman" w:cs="Times New Roman"/>
          <w:color w:val="131615"/>
          <w:sz w:val="24"/>
          <w:szCs w:val="24"/>
          <w:shd w:val="clear" w:color="auto" w:fill="FFFFFF"/>
        </w:rPr>
        <w:t xml:space="preserve"> is not the only factor to be considered when evaluating the proposed reforms, rather the key factor is which </w:t>
      </w:r>
      <w:proofErr w:type="gramStart"/>
      <w:r w:rsidRPr="00AE5182">
        <w:rPr>
          <w:rFonts w:ascii="Times New Roman" w:hAnsi="Times New Roman" w:cs="Times New Roman"/>
          <w:color w:val="131615"/>
          <w:sz w:val="24"/>
          <w:szCs w:val="24"/>
          <w:shd w:val="clear" w:color="auto" w:fill="FFFFFF"/>
        </w:rPr>
        <w:t>country</w:t>
      </w:r>
      <w:proofErr w:type="gramEnd"/>
      <w:r w:rsidRPr="00AE5182">
        <w:rPr>
          <w:rFonts w:ascii="Times New Roman" w:hAnsi="Times New Roman" w:cs="Times New Roman"/>
          <w:color w:val="131615"/>
          <w:sz w:val="24"/>
          <w:szCs w:val="24"/>
          <w:shd w:val="clear" w:color="auto" w:fill="FFFFFF"/>
        </w:rPr>
        <w:t xml:space="preserve"> or </w:t>
      </w:r>
      <w:proofErr w:type="gramStart"/>
      <w:r w:rsidRPr="00AE5182">
        <w:rPr>
          <w:rFonts w:ascii="Times New Roman" w:hAnsi="Times New Roman" w:cs="Times New Roman"/>
          <w:color w:val="131615"/>
          <w:sz w:val="24"/>
          <w:szCs w:val="24"/>
          <w:shd w:val="clear" w:color="auto" w:fill="FFFFFF"/>
        </w:rPr>
        <w:t>countries</w:t>
      </w:r>
      <w:proofErr w:type="gramEnd"/>
      <w:r w:rsidRPr="00AE5182">
        <w:rPr>
          <w:rFonts w:ascii="Times New Roman" w:hAnsi="Times New Roman" w:cs="Times New Roman"/>
          <w:color w:val="131615"/>
          <w:sz w:val="24"/>
          <w:szCs w:val="24"/>
          <w:shd w:val="clear" w:color="auto" w:fill="FFFFFF"/>
        </w:rPr>
        <w:t xml:space="preserve"> can effectively collect the revenue and enforce the new rules. To be effective, these international obligations </w:t>
      </w:r>
      <w:r w:rsidRPr="00AE5182">
        <w:rPr>
          <w:rFonts w:ascii="Times New Roman" w:hAnsi="Times New Roman" w:cs="Times New Roman"/>
          <w:color w:val="131615"/>
          <w:sz w:val="24"/>
          <w:szCs w:val="24"/>
          <w:shd w:val="clear" w:color="auto" w:fill="FFFFFF"/>
        </w:rPr>
        <w:t>need to be matched by preparatory action in each country. The form that reporting should take will depend on the information needs of tax auditors. The obligations placed on others should be matched by the provision of appropriate staff, IT systems and a mechanism for dealing with queries and disputes.</w:t>
      </w:r>
    </w:p>
    <w:p w14:paraId="253D1CE1" w14:textId="77777777" w:rsidR="00F07748" w:rsidRPr="00AE5182" w:rsidRDefault="00000000" w:rsidP="00AE5182">
      <w:pPr>
        <w:spacing w:line="360" w:lineRule="auto"/>
        <w:ind w:left="150"/>
        <w:rPr>
          <w:rFonts w:ascii="Times New Roman" w:hAnsi="Times New Roman" w:cs="Times New Roman"/>
          <w:sz w:val="24"/>
          <w:szCs w:val="24"/>
        </w:rPr>
      </w:pPr>
      <w:r w:rsidRPr="00AE5182">
        <w:rPr>
          <w:rFonts w:ascii="Times New Roman" w:hAnsi="Times New Roman" w:cs="Times New Roman"/>
          <w:noProof/>
          <w:sz w:val="24"/>
          <w:szCs w:val="24"/>
        </w:rPr>
        <w:lastRenderedPageBreak/>
        <mc:AlternateContent>
          <mc:Choice Requires="wps">
            <w:drawing>
              <wp:inline distT="0" distB="0" distL="0" distR="0" wp14:anchorId="25CE9FCF" wp14:editId="02D59BAC">
                <wp:extent cx="3334385" cy="61849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171B2D40" w14:textId="291A9E1F" w:rsidR="00F07748" w:rsidRDefault="001D6C44">
                            <w:pPr>
                              <w:tabs>
                                <w:tab w:val="left" w:pos="3433"/>
                              </w:tabs>
                              <w:spacing w:before="235"/>
                              <w:ind w:left="145"/>
                              <w:rPr>
                                <w:color w:val="000000"/>
                                <w:sz w:val="44"/>
                              </w:rPr>
                            </w:pPr>
                            <w:r>
                              <w:rPr>
                                <w:color w:val="FFFFFF"/>
                                <w:spacing w:val="-2"/>
                                <w:sz w:val="44"/>
                              </w:rPr>
                              <w:t xml:space="preserve">POLICY </w:t>
                            </w:r>
                            <w:r w:rsidR="00000000">
                              <w:rPr>
                                <w:color w:val="FFFFFF"/>
                                <w:spacing w:val="-2"/>
                                <w:sz w:val="44"/>
                              </w:rPr>
                              <w:t>BRIEF</w:t>
                            </w:r>
                            <w:r w:rsidR="00000000">
                              <w:rPr>
                                <w:color w:val="FFFFFF"/>
                                <w:sz w:val="44"/>
                              </w:rPr>
                              <w:tab/>
                              <w:t>202</w:t>
                            </w:r>
                            <w:r w:rsidR="003F0071">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sidR="00000000">
                              <w:rPr>
                                <w:color w:val="FFFFFF"/>
                                <w:spacing w:val="-10"/>
                                <w:sz w:val="44"/>
                              </w:rPr>
                              <w:t>1</w:t>
                            </w:r>
                          </w:p>
                        </w:txbxContent>
                      </wps:txbx>
                      <wps:bodyPr wrap="square" lIns="0" tIns="0" rIns="0" bIns="0" rtlCol="0">
                        <a:noAutofit/>
                      </wps:bodyPr>
                    </wps:wsp>
                  </a:graphicData>
                </a:graphic>
              </wp:inline>
            </w:drawing>
          </mc:Choice>
          <mc:Fallback>
            <w:pict>
              <v:shape w14:anchorId="25CE9FCF" id="Textbox 11"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" fillcolor="#073779" stroked="f">
                <v:textbox inset="0,0,0,0">
                  <w:txbxContent>
                    <w:p w14:paraId="171B2D40" w14:textId="291A9E1F" w:rsidR="00F07748" w:rsidRDefault="001D6C44">
                      <w:pPr>
                        <w:tabs>
                          <w:tab w:val="left" w:pos="3433"/>
                        </w:tabs>
                        <w:spacing w:before="235"/>
                        <w:ind w:left="145"/>
                        <w:rPr>
                          <w:color w:val="000000"/>
                          <w:sz w:val="44"/>
                        </w:rPr>
                      </w:pPr>
                      <w:r>
                        <w:rPr>
                          <w:color w:val="FFFFFF"/>
                          <w:spacing w:val="-2"/>
                          <w:sz w:val="44"/>
                        </w:rPr>
                        <w:t xml:space="preserve">POLICY </w:t>
                      </w:r>
                      <w:r w:rsidR="00000000">
                        <w:rPr>
                          <w:color w:val="FFFFFF"/>
                          <w:spacing w:val="-2"/>
                          <w:sz w:val="44"/>
                        </w:rPr>
                        <w:t>BRIEF</w:t>
                      </w:r>
                      <w:r w:rsidR="00000000">
                        <w:rPr>
                          <w:color w:val="FFFFFF"/>
                          <w:sz w:val="44"/>
                        </w:rPr>
                        <w:tab/>
                        <w:t>202</w:t>
                      </w:r>
                      <w:r w:rsidR="003F0071">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sidR="00000000">
                        <w:rPr>
                          <w:color w:val="FFFFFF"/>
                          <w:spacing w:val="-10"/>
                          <w:sz w:val="44"/>
                        </w:rPr>
                        <w:t>1</w:t>
                      </w:r>
                    </w:p>
                  </w:txbxContent>
                </v:textbox>
                <w10:anchorlock/>
              </v:shape>
            </w:pict>
          </mc:Fallback>
        </mc:AlternateContent>
      </w:r>
    </w:p>
    <w:p w14:paraId="3489BC3B" w14:textId="77777777" w:rsidR="00F07748" w:rsidRPr="00AE5182" w:rsidRDefault="00F07748" w:rsidP="00AE5182">
      <w:pPr>
        <w:pStyle w:val="GvdeMetni"/>
        <w:spacing w:before="64" w:line="360" w:lineRule="auto"/>
        <w:rPr>
          <w:rFonts w:ascii="Times New Roman" w:hAnsi="Times New Roman" w:cs="Times New Roman"/>
          <w:sz w:val="24"/>
          <w:szCs w:val="24"/>
        </w:rPr>
      </w:pPr>
    </w:p>
    <w:p w14:paraId="6452E0E6" w14:textId="77777777" w:rsidR="00AC605E" w:rsidRPr="00AE5182" w:rsidRDefault="00AC605E" w:rsidP="00AE5182">
      <w:pPr>
        <w:pStyle w:val="Balk1"/>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What Needs to Change</w:t>
      </w:r>
    </w:p>
    <w:p w14:paraId="7C7BDB8D" w14:textId="77777777" w:rsidR="00AC605E" w:rsidRPr="00AE5182" w:rsidRDefault="00AC605E" w:rsidP="00AE5182">
      <w:pPr>
        <w:pStyle w:val="Balk2"/>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COORDINATE MINIMUM TAXATION</w:t>
      </w:r>
    </w:p>
    <w:p w14:paraId="14D921D1" w14:textId="77777777" w:rsidR="00E3653A" w:rsidRPr="00AE5182" w:rsidRDefault="00E3653A" w:rsidP="00AE5182">
      <w:pPr>
        <w:spacing w:line="360" w:lineRule="auto"/>
        <w:jc w:val="both"/>
        <w:rPr>
          <w:rFonts w:ascii="Times New Roman" w:hAnsi="Times New Roman" w:cs="Times New Roman"/>
          <w:sz w:val="24"/>
          <w:szCs w:val="24"/>
        </w:rPr>
      </w:pPr>
    </w:p>
    <w:p w14:paraId="75A821F6" w14:textId="77777777" w:rsidR="00651030" w:rsidRPr="00AE5182" w:rsidRDefault="00651030" w:rsidP="00AE5182">
      <w:pPr>
        <w:pStyle w:val="Balk2"/>
        <w:spacing w:line="360" w:lineRule="auto"/>
        <w:rPr>
          <w:rFonts w:ascii="Times New Roman" w:hAnsi="Times New Roman" w:cs="Times New Roman"/>
          <w:color w:val="131615"/>
          <w:sz w:val="24"/>
          <w:szCs w:val="24"/>
          <w:shd w:val="clear" w:color="auto" w:fill="FFFFFF"/>
        </w:rPr>
      </w:pPr>
      <w:r w:rsidRPr="00AE5182">
        <w:rPr>
          <w:rFonts w:ascii="Times New Roman" w:hAnsi="Times New Roman" w:cs="Times New Roman"/>
          <w:color w:val="131615"/>
          <w:sz w:val="24"/>
          <w:szCs w:val="24"/>
          <w:shd w:val="clear" w:color="auto" w:fill="FFFFFF"/>
        </w:rPr>
        <w:t xml:space="preserve">Minimum tax rates should be coordinated by governments, with Review of </w:t>
      </w:r>
      <w:proofErr w:type="gramStart"/>
      <w:r w:rsidRPr="00AE5182">
        <w:rPr>
          <w:rFonts w:ascii="Times New Roman" w:hAnsi="Times New Roman" w:cs="Times New Roman"/>
          <w:color w:val="131615"/>
          <w:sz w:val="24"/>
          <w:szCs w:val="24"/>
          <w:shd w:val="clear" w:color="auto" w:fill="FFFFFF"/>
        </w:rPr>
        <w:t>exemptions</w:t>
      </w:r>
      <w:proofErr w:type="gramEnd"/>
      <w:r w:rsidRPr="00AE5182">
        <w:rPr>
          <w:rFonts w:ascii="Times New Roman" w:hAnsi="Times New Roman" w:cs="Times New Roman"/>
          <w:color w:val="131615"/>
          <w:sz w:val="24"/>
          <w:szCs w:val="24"/>
          <w:shd w:val="clear" w:color="auto" w:fill="FFFFFF"/>
        </w:rPr>
        <w:t xml:space="preserve"> to prevent continued design of artifices to shift artificial profits. The design concerns identified by Avi-Yonah and Kim </w:t>
      </w:r>
      <w:proofErr w:type="gramStart"/>
      <w:r w:rsidRPr="00AE5182">
        <w:rPr>
          <w:rFonts w:ascii="Times New Roman" w:hAnsi="Times New Roman" w:cs="Times New Roman"/>
          <w:color w:val="131615"/>
          <w:sz w:val="24"/>
          <w:szCs w:val="24"/>
          <w:shd w:val="clear" w:color="auto" w:fill="FFFFFF"/>
        </w:rPr>
        <w:t>underlie</w:t>
      </w:r>
      <w:proofErr w:type="gramEnd"/>
      <w:r w:rsidRPr="00AE5182">
        <w:rPr>
          <w:rFonts w:ascii="Times New Roman" w:hAnsi="Times New Roman" w:cs="Times New Roman"/>
          <w:color w:val="131615"/>
          <w:sz w:val="24"/>
          <w:szCs w:val="24"/>
          <w:shd w:val="clear" w:color="auto" w:fill="FFFFFF"/>
        </w:rPr>
        <w:t xml:space="preserve"> this recommendation. (2) Finance ministries must assess the impact of new rules on domestic tax revenues. Countries where economic activities </w:t>
      </w:r>
      <w:proofErr w:type="gramStart"/>
      <w:r w:rsidRPr="00AE5182">
        <w:rPr>
          <w:rFonts w:ascii="Times New Roman" w:hAnsi="Times New Roman" w:cs="Times New Roman"/>
          <w:color w:val="131615"/>
          <w:sz w:val="24"/>
          <w:szCs w:val="24"/>
          <w:shd w:val="clear" w:color="auto" w:fill="FFFFFF"/>
        </w:rPr>
        <w:t>actually take</w:t>
      </w:r>
      <w:proofErr w:type="gramEnd"/>
      <w:r w:rsidRPr="00AE5182">
        <w:rPr>
          <w:rFonts w:ascii="Times New Roman" w:hAnsi="Times New Roman" w:cs="Times New Roman"/>
          <w:color w:val="131615"/>
          <w:sz w:val="24"/>
          <w:szCs w:val="24"/>
          <w:shd w:val="clear" w:color="auto" w:fill="FFFFFF"/>
        </w:rPr>
        <w:t xml:space="preserve"> place must be treated as equal players in negotiations, with due assistance to be provided to administrations that need help. Such help must be </w:t>
      </w:r>
      <w:proofErr w:type="gramStart"/>
      <w:r w:rsidRPr="00AE5182">
        <w:rPr>
          <w:rFonts w:ascii="Times New Roman" w:hAnsi="Times New Roman" w:cs="Times New Roman"/>
          <w:color w:val="131615"/>
          <w:sz w:val="24"/>
          <w:szCs w:val="24"/>
          <w:shd w:val="clear" w:color="auto" w:fill="FFFFFF"/>
        </w:rPr>
        <w:t>published,</w:t>
      </w:r>
      <w:proofErr w:type="gramEnd"/>
      <w:r w:rsidRPr="00AE5182">
        <w:rPr>
          <w:rFonts w:ascii="Times New Roman" w:hAnsi="Times New Roman" w:cs="Times New Roman"/>
          <w:color w:val="131615"/>
          <w:sz w:val="24"/>
          <w:szCs w:val="24"/>
          <w:shd w:val="clear" w:color="auto" w:fill="FFFFFF"/>
        </w:rPr>
        <w:t xml:space="preserve"> implementation assistance and dispute resolution assistance must be made accessible to taxpayers </w:t>
      </w:r>
      <w:proofErr w:type="gramStart"/>
      <w:r w:rsidRPr="00AE5182">
        <w:rPr>
          <w:rFonts w:ascii="Times New Roman" w:hAnsi="Times New Roman" w:cs="Times New Roman"/>
          <w:color w:val="131615"/>
          <w:sz w:val="24"/>
          <w:szCs w:val="24"/>
          <w:shd w:val="clear" w:color="auto" w:fill="FFFFFF"/>
        </w:rPr>
        <w:t>in order to</w:t>
      </w:r>
      <w:proofErr w:type="gramEnd"/>
      <w:r w:rsidRPr="00AE5182">
        <w:rPr>
          <w:rFonts w:ascii="Times New Roman" w:hAnsi="Times New Roman" w:cs="Times New Roman"/>
          <w:color w:val="131615"/>
          <w:sz w:val="24"/>
          <w:szCs w:val="24"/>
          <w:shd w:val="clear" w:color="auto" w:fill="FFFFFF"/>
        </w:rPr>
        <w:t xml:space="preserve"> increase their certainty.</w:t>
      </w:r>
    </w:p>
    <w:p w14:paraId="009B652D" w14:textId="77777777" w:rsidR="00651030" w:rsidRPr="00AE5182" w:rsidRDefault="00651030" w:rsidP="00AE5182">
      <w:pPr>
        <w:pStyle w:val="Balk2"/>
        <w:spacing w:line="360" w:lineRule="auto"/>
        <w:rPr>
          <w:rFonts w:ascii="Times New Roman" w:hAnsi="Times New Roman" w:cs="Times New Roman"/>
          <w:color w:val="131615"/>
          <w:sz w:val="24"/>
          <w:szCs w:val="24"/>
          <w:shd w:val="clear" w:color="auto" w:fill="FFFFFF"/>
        </w:rPr>
      </w:pPr>
    </w:p>
    <w:p w14:paraId="1712E752" w14:textId="4E2BC7C3" w:rsidR="00AC605E" w:rsidRPr="00AE5182" w:rsidRDefault="00AC605E" w:rsidP="00AE5182">
      <w:pPr>
        <w:pStyle w:val="Balk2"/>
        <w:spacing w:line="360" w:lineRule="auto"/>
        <w:rPr>
          <w:rFonts w:ascii="Times New Roman" w:hAnsi="Times New Roman" w:cs="Times New Roman"/>
          <w:sz w:val="24"/>
          <w:szCs w:val="24"/>
        </w:rPr>
      </w:pPr>
      <w:r w:rsidRPr="00AE5182">
        <w:rPr>
          <w:rFonts w:ascii="Times New Roman" w:hAnsi="Times New Roman" w:cs="Times New Roman"/>
          <w:color w:val="103D76"/>
          <w:sz w:val="24"/>
          <w:szCs w:val="24"/>
        </w:rPr>
        <w:t>IMPROVE REPORTING AND INFORMATION EXCHANGE</w:t>
      </w:r>
    </w:p>
    <w:p w14:paraId="509B5977" w14:textId="77777777" w:rsidR="00E3653A" w:rsidRPr="00AE5182" w:rsidRDefault="00E3653A" w:rsidP="00AE5182">
      <w:pPr>
        <w:spacing w:line="360" w:lineRule="auto"/>
        <w:jc w:val="both"/>
        <w:rPr>
          <w:rFonts w:ascii="Times New Roman" w:hAnsi="Times New Roman" w:cs="Times New Roman"/>
          <w:sz w:val="24"/>
          <w:szCs w:val="24"/>
        </w:rPr>
      </w:pPr>
    </w:p>
    <w:p w14:paraId="67977FDB" w14:textId="77777777" w:rsidR="00651030" w:rsidRPr="00AE5182" w:rsidRDefault="00651030" w:rsidP="00AE5182">
      <w:pPr>
        <w:pStyle w:val="Balk2"/>
        <w:spacing w:line="360" w:lineRule="auto"/>
        <w:rPr>
          <w:rFonts w:ascii="Times New Roman" w:hAnsi="Times New Roman" w:cs="Times New Roman"/>
          <w:color w:val="131615"/>
          <w:sz w:val="24"/>
          <w:szCs w:val="24"/>
          <w:shd w:val="clear" w:color="auto" w:fill="FFFFFF"/>
        </w:rPr>
      </w:pPr>
      <w:r w:rsidRPr="00AE5182">
        <w:rPr>
          <w:rFonts w:ascii="Times New Roman" w:hAnsi="Times New Roman" w:cs="Times New Roman"/>
          <w:color w:val="131615"/>
          <w:sz w:val="24"/>
          <w:szCs w:val="24"/>
          <w:shd w:val="clear" w:color="auto" w:fill="FFFFFF"/>
        </w:rPr>
        <w:t>Governments should improve the availability of consistent information on group profits, taxes and business activities across jurisdictions. Recommendation (3) refers to Country-level reporting that supports auditors in singling out structured arrangements which require a more detailed check. Exchanges of information between tax authorities must be implemented in a manner and using tools that enable the protection of confidential information. Risk indicators should guide investigation rather than be used as automatism for assessing tax evasion.</w:t>
      </w:r>
    </w:p>
    <w:p w14:paraId="448F5CEC" w14:textId="77777777" w:rsidR="00651030" w:rsidRPr="00AE5182" w:rsidRDefault="00651030" w:rsidP="00AE5182">
      <w:pPr>
        <w:pStyle w:val="Balk2"/>
        <w:spacing w:line="360" w:lineRule="auto"/>
        <w:ind w:left="0"/>
        <w:rPr>
          <w:rFonts w:ascii="Times New Roman" w:hAnsi="Times New Roman" w:cs="Times New Roman"/>
          <w:color w:val="131615"/>
          <w:sz w:val="24"/>
          <w:szCs w:val="24"/>
          <w:shd w:val="clear" w:color="auto" w:fill="FFFFFF"/>
        </w:rPr>
      </w:pPr>
    </w:p>
    <w:p w14:paraId="329DAEEE" w14:textId="42D1DD61" w:rsidR="00AE5182" w:rsidRDefault="00AE5182" w:rsidP="00AE5182">
      <w:pPr>
        <w:pStyle w:val="Balk2"/>
        <w:spacing w:line="360" w:lineRule="auto"/>
        <w:ind w:left="0"/>
        <w:rPr>
          <w:rFonts w:ascii="Times New Roman" w:hAnsi="Times New Roman" w:cs="Times New Roman"/>
          <w:color w:val="103D76"/>
          <w:sz w:val="24"/>
          <w:szCs w:val="24"/>
        </w:rPr>
      </w:pPr>
    </w:p>
    <w:p w14:paraId="42668148" w14:textId="2597261B" w:rsidR="00AC605E" w:rsidRPr="00AE5182" w:rsidRDefault="00AC605E" w:rsidP="00AE5182">
      <w:pPr>
        <w:pStyle w:val="Balk2"/>
        <w:spacing w:line="360" w:lineRule="auto"/>
        <w:ind w:left="0"/>
        <w:rPr>
          <w:rFonts w:ascii="Times New Roman" w:hAnsi="Times New Roman" w:cs="Times New Roman"/>
          <w:sz w:val="24"/>
          <w:szCs w:val="24"/>
        </w:rPr>
      </w:pPr>
      <w:r w:rsidRPr="00AE5182">
        <w:rPr>
          <w:rFonts w:ascii="Times New Roman" w:hAnsi="Times New Roman" w:cs="Times New Roman"/>
          <w:color w:val="103D76"/>
          <w:sz w:val="24"/>
          <w:szCs w:val="24"/>
        </w:rPr>
        <w:t>STRENGTHEN TAX ADMINISTRATION</w:t>
      </w:r>
    </w:p>
    <w:p w14:paraId="65333454" w14:textId="77777777" w:rsidR="00E3653A" w:rsidRPr="00AE5182" w:rsidRDefault="00E3653A" w:rsidP="00AE5182">
      <w:pPr>
        <w:spacing w:line="360" w:lineRule="auto"/>
        <w:jc w:val="both"/>
        <w:rPr>
          <w:rFonts w:ascii="Times New Roman" w:hAnsi="Times New Roman" w:cs="Times New Roman"/>
          <w:sz w:val="24"/>
          <w:szCs w:val="24"/>
        </w:rPr>
      </w:pPr>
    </w:p>
    <w:p w14:paraId="41CE49A7" w14:textId="5E963674" w:rsidR="00B64F36" w:rsidRPr="00AE5182" w:rsidRDefault="00651030" w:rsidP="00AE5182">
      <w:pPr>
        <w:spacing w:line="360" w:lineRule="auto"/>
        <w:rPr>
          <w:rFonts w:ascii="Times New Roman" w:hAnsi="Times New Roman" w:cs="Times New Roman"/>
          <w:sz w:val="24"/>
          <w:szCs w:val="24"/>
        </w:rPr>
      </w:pPr>
      <w:r w:rsidRPr="00AE5182">
        <w:rPr>
          <w:rFonts w:ascii="Times New Roman" w:hAnsi="Times New Roman" w:cs="Times New Roman"/>
          <w:color w:val="131615"/>
          <w:sz w:val="24"/>
          <w:szCs w:val="24"/>
          <w:shd w:val="clear" w:color="auto" w:fill="FFFFFF"/>
        </w:rPr>
        <w:t xml:space="preserve">Treasury departments should establish </w:t>
      </w:r>
      <w:proofErr w:type="gramStart"/>
      <w:r w:rsidRPr="00AE5182">
        <w:rPr>
          <w:rFonts w:ascii="Times New Roman" w:hAnsi="Times New Roman" w:cs="Times New Roman"/>
          <w:color w:val="131615"/>
          <w:sz w:val="24"/>
          <w:szCs w:val="24"/>
          <w:shd w:val="clear" w:color="auto" w:fill="FFFFFF"/>
        </w:rPr>
        <w:t>a number of</w:t>
      </w:r>
      <w:proofErr w:type="gramEnd"/>
      <w:r w:rsidRPr="00AE5182">
        <w:rPr>
          <w:rFonts w:ascii="Times New Roman" w:hAnsi="Times New Roman" w:cs="Times New Roman"/>
          <w:color w:val="131615"/>
          <w:sz w:val="24"/>
          <w:szCs w:val="24"/>
          <w:shd w:val="clear" w:color="auto" w:fill="FFFFFF"/>
        </w:rPr>
        <w:t xml:space="preserve"> specialist teams dealing with related-party transactions. These teams should receive training in accounting, in valuations and in international tax. Initially audits should focus on the biggest revenue at risk transactions. Governments’ enforcement work should be accompanied by guidance and by compliance requirements that are proportionate to the obligations imposed on companies. The success of the brief should be measured in terms of additional revenue, speed of resolution and the costs of compliance to companies. These are the brief’s implementation proposals and not the findings of the three above sources.</w:t>
      </w:r>
    </w:p>
    <w:p w14:paraId="1935C64A" w14:textId="4FF0978B" w:rsidR="000751BC" w:rsidRPr="00AE5182" w:rsidRDefault="00AE5182" w:rsidP="00AE5182">
      <w:pPr>
        <w:spacing w:line="360" w:lineRule="auto"/>
        <w:rPr>
          <w:rFonts w:ascii="Times New Roman" w:hAnsi="Times New Roman" w:cs="Times New Roman"/>
          <w:sz w:val="24"/>
          <w:szCs w:val="24"/>
        </w:rPr>
      </w:pPr>
      <w:r w:rsidRPr="00AE5182">
        <w:rPr>
          <w:rFonts w:ascii="Times New Roman" w:hAnsi="Times New Roman" w:cs="Times New Roman"/>
          <w:noProof/>
          <w:sz w:val="24"/>
          <w:szCs w:val="24"/>
        </w:rPr>
        <w:drawing>
          <wp:inline distT="0" distB="0" distL="0" distR="0" wp14:anchorId="20D3E274" wp14:editId="52A2F07C">
            <wp:extent cx="3215640" cy="4632325"/>
            <wp:effectExtent l="0" t="0" r="3810" b="0"/>
            <wp:docPr id="150279178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91781" name=""/>
                    <pic:cNvPicPr/>
                  </pic:nvPicPr>
                  <pic:blipFill>
                    <a:blip r:embed="rId9"/>
                    <a:stretch>
                      <a:fillRect/>
                    </a:stretch>
                  </pic:blipFill>
                  <pic:spPr>
                    <a:xfrm>
                      <a:off x="0" y="0"/>
                      <a:ext cx="3219924" cy="4638497"/>
                    </a:xfrm>
                    <a:prstGeom prst="rect">
                      <a:avLst/>
                    </a:prstGeom>
                  </pic:spPr>
                </pic:pic>
              </a:graphicData>
            </a:graphic>
          </wp:inline>
        </w:drawing>
      </w:r>
    </w:p>
    <w:p w14:paraId="51D8066B" w14:textId="7222D19F" w:rsidR="000751BC" w:rsidRPr="00AE5182" w:rsidRDefault="000751BC" w:rsidP="00AE5182">
      <w:pPr>
        <w:pStyle w:val="GvdeMetni"/>
        <w:spacing w:line="360" w:lineRule="auto"/>
        <w:jc w:val="both"/>
        <w:rPr>
          <w:rFonts w:ascii="Times New Roman" w:hAnsi="Times New Roman" w:cs="Times New Roman"/>
          <w:sz w:val="24"/>
          <w:szCs w:val="24"/>
        </w:rPr>
        <w:sectPr w:rsidR="000751BC" w:rsidRPr="00AE5182">
          <w:pgSz w:w="11910" w:h="16840"/>
          <w:pgMar w:top="580" w:right="425" w:bottom="740" w:left="425" w:header="0" w:footer="517" w:gutter="0"/>
          <w:cols w:num="2" w:space="708" w:equalWidth="0">
            <w:col w:w="5536" w:space="271"/>
            <w:col w:w="5253"/>
          </w:cols>
        </w:sectPr>
      </w:pPr>
      <w:r w:rsidRPr="00AE5182">
        <w:rPr>
          <w:rFonts w:ascii="Times New Roman" w:hAnsi="Times New Roman" w:cs="Times New Roman"/>
          <w:sz w:val="24"/>
          <w:szCs w:val="24"/>
        </w:rPr>
        <w:t>(5)</w:t>
      </w:r>
    </w:p>
    <w:p w14:paraId="0CA0CFCF" w14:textId="77777777" w:rsidR="00F07748" w:rsidRPr="00AE5182" w:rsidRDefault="00000000" w:rsidP="00AE5182">
      <w:pPr>
        <w:pStyle w:val="GvdeMetni"/>
        <w:spacing w:before="28" w:line="360" w:lineRule="auto"/>
        <w:ind w:left="467"/>
        <w:rPr>
          <w:rFonts w:ascii="Times New Roman" w:hAnsi="Times New Roman" w:cs="Times New Roman"/>
          <w:sz w:val="24"/>
          <w:szCs w:val="24"/>
        </w:rPr>
      </w:pPr>
      <w:r w:rsidRPr="00AE5182">
        <w:rPr>
          <w:rFonts w:ascii="Times New Roman" w:hAnsi="Times New Roman" w:cs="Times New Roman"/>
          <w:color w:val="0A55B8"/>
          <w:spacing w:val="-2"/>
          <w:sz w:val="24"/>
          <w:szCs w:val="24"/>
        </w:rPr>
        <w:lastRenderedPageBreak/>
        <w:t>FOOTNOTES</w:t>
      </w:r>
    </w:p>
    <w:p w14:paraId="60B9FE0B" w14:textId="3BB8880D" w:rsidR="00AC605E" w:rsidRPr="00AE5182" w:rsidRDefault="00AC605E" w:rsidP="00AE5182">
      <w:pPr>
        <w:pStyle w:val="ListeParagraf"/>
        <w:numPr>
          <w:ilvl w:val="0"/>
          <w:numId w:val="6"/>
        </w:numPr>
        <w:spacing w:after="140" w:line="360" w:lineRule="auto"/>
        <w:rPr>
          <w:rFonts w:ascii="Times New Roman" w:hAnsi="Times New Roman" w:cs="Times New Roman"/>
          <w:sz w:val="24"/>
          <w:szCs w:val="24"/>
        </w:rPr>
      </w:pPr>
      <w:proofErr w:type="spellStart"/>
      <w:r w:rsidRPr="00AE5182">
        <w:rPr>
          <w:rFonts w:ascii="Times New Roman" w:hAnsi="Times New Roman" w:cs="Times New Roman"/>
          <w:sz w:val="24"/>
          <w:szCs w:val="24"/>
        </w:rPr>
        <w:t>Janský</w:t>
      </w:r>
      <w:proofErr w:type="spellEnd"/>
      <w:r w:rsidRPr="00AE5182">
        <w:rPr>
          <w:rFonts w:ascii="Times New Roman" w:hAnsi="Times New Roman" w:cs="Times New Roman"/>
          <w:sz w:val="24"/>
          <w:szCs w:val="24"/>
        </w:rPr>
        <w:t xml:space="preserve">, P., &amp; </w:t>
      </w:r>
      <w:proofErr w:type="spellStart"/>
      <w:r w:rsidRPr="00AE5182">
        <w:rPr>
          <w:rFonts w:ascii="Times New Roman" w:hAnsi="Times New Roman" w:cs="Times New Roman"/>
          <w:sz w:val="24"/>
          <w:szCs w:val="24"/>
        </w:rPr>
        <w:t>Palanský</w:t>
      </w:r>
      <w:proofErr w:type="spellEnd"/>
      <w:r w:rsidRPr="00AE5182">
        <w:rPr>
          <w:rFonts w:ascii="Times New Roman" w:hAnsi="Times New Roman" w:cs="Times New Roman"/>
          <w:sz w:val="24"/>
          <w:szCs w:val="24"/>
        </w:rPr>
        <w:t xml:space="preserve">, M. (2019). Estimating the scale of profit shifting and tax revenue losses related to foreign direct investment. </w:t>
      </w:r>
      <w:r w:rsidRPr="00AE5182">
        <w:rPr>
          <w:rFonts w:ascii="Times New Roman" w:hAnsi="Times New Roman" w:cs="Times New Roman"/>
          <w:i/>
          <w:sz w:val="24"/>
          <w:szCs w:val="24"/>
        </w:rPr>
        <w:t>International Tax and Public Finance, 26</w:t>
      </w:r>
      <w:r w:rsidRPr="00AE5182">
        <w:rPr>
          <w:rFonts w:ascii="Times New Roman" w:hAnsi="Times New Roman" w:cs="Times New Roman"/>
          <w:sz w:val="24"/>
          <w:szCs w:val="24"/>
        </w:rPr>
        <w:t xml:space="preserve">, 1048–1103. </w:t>
      </w:r>
      <w:hyperlink r:id="rId10" w:history="1">
        <w:r w:rsidR="000751BC" w:rsidRPr="00AE5182">
          <w:rPr>
            <w:rStyle w:val="Kpr"/>
            <w:rFonts w:ascii="Times New Roman" w:hAnsi="Times New Roman" w:cs="Times New Roman"/>
            <w:sz w:val="24"/>
            <w:szCs w:val="24"/>
          </w:rPr>
          <w:t>https://doi.org/10.1007/s10797-019-09547-8</w:t>
        </w:r>
      </w:hyperlink>
      <w:r w:rsidR="000751BC" w:rsidRPr="00AE5182">
        <w:rPr>
          <w:rFonts w:ascii="Times New Roman" w:hAnsi="Times New Roman" w:cs="Times New Roman"/>
          <w:sz w:val="24"/>
          <w:szCs w:val="24"/>
        </w:rPr>
        <w:t xml:space="preserve"> </w:t>
      </w:r>
    </w:p>
    <w:p w14:paraId="5A53C95B" w14:textId="334E9563" w:rsidR="00AC605E" w:rsidRPr="00AE5182" w:rsidRDefault="00AC605E" w:rsidP="00AE5182">
      <w:pPr>
        <w:pStyle w:val="ListeParagraf"/>
        <w:numPr>
          <w:ilvl w:val="0"/>
          <w:numId w:val="6"/>
        </w:numPr>
        <w:spacing w:after="140" w:line="360" w:lineRule="auto"/>
        <w:rPr>
          <w:rFonts w:ascii="Times New Roman" w:hAnsi="Times New Roman" w:cs="Times New Roman"/>
          <w:sz w:val="24"/>
          <w:szCs w:val="24"/>
        </w:rPr>
      </w:pPr>
      <w:r w:rsidRPr="00AE5182">
        <w:rPr>
          <w:rFonts w:ascii="Times New Roman" w:hAnsi="Times New Roman" w:cs="Times New Roman"/>
          <w:sz w:val="24"/>
          <w:szCs w:val="24"/>
        </w:rPr>
        <w:t xml:space="preserve">Avi-Yonah, R., &amp; Kim, Y. R. (2022). Tax harmony: The promise and pitfalls of the global minimum tax. </w:t>
      </w:r>
      <w:r w:rsidRPr="00AE5182">
        <w:rPr>
          <w:rFonts w:ascii="Times New Roman" w:hAnsi="Times New Roman" w:cs="Times New Roman"/>
          <w:i/>
          <w:sz w:val="24"/>
          <w:szCs w:val="24"/>
        </w:rPr>
        <w:t>Michigan Journal of International Law, 43</w:t>
      </w:r>
      <w:r w:rsidRPr="00AE5182">
        <w:rPr>
          <w:rFonts w:ascii="Times New Roman" w:hAnsi="Times New Roman" w:cs="Times New Roman"/>
          <w:sz w:val="24"/>
          <w:szCs w:val="24"/>
        </w:rPr>
        <w:t xml:space="preserve">(3), 505–556. </w:t>
      </w:r>
      <w:hyperlink r:id="rId11" w:history="1">
        <w:r w:rsidR="000751BC" w:rsidRPr="00AE5182">
          <w:rPr>
            <w:rStyle w:val="Kpr"/>
            <w:rFonts w:ascii="Times New Roman" w:hAnsi="Times New Roman" w:cs="Times New Roman"/>
            <w:sz w:val="24"/>
            <w:szCs w:val="24"/>
          </w:rPr>
          <w:t>https://doi.org/10.36642/mjil.43.3.tax</w:t>
        </w:r>
      </w:hyperlink>
      <w:r w:rsidR="000751BC" w:rsidRPr="00AE5182">
        <w:rPr>
          <w:rFonts w:ascii="Times New Roman" w:hAnsi="Times New Roman" w:cs="Times New Roman"/>
          <w:sz w:val="24"/>
          <w:szCs w:val="24"/>
        </w:rPr>
        <w:t xml:space="preserve"> </w:t>
      </w:r>
    </w:p>
    <w:p w14:paraId="5B608E56" w14:textId="49BAFDEF" w:rsidR="00AC605E" w:rsidRPr="00AE5182" w:rsidRDefault="00AC605E" w:rsidP="00AE5182">
      <w:pPr>
        <w:pStyle w:val="ListeParagraf"/>
        <w:numPr>
          <w:ilvl w:val="0"/>
          <w:numId w:val="6"/>
        </w:numPr>
        <w:spacing w:after="140" w:line="360" w:lineRule="auto"/>
        <w:rPr>
          <w:rFonts w:ascii="Times New Roman" w:hAnsi="Times New Roman" w:cs="Times New Roman"/>
          <w:sz w:val="24"/>
          <w:szCs w:val="24"/>
        </w:rPr>
      </w:pPr>
      <w:r w:rsidRPr="00AE5182">
        <w:rPr>
          <w:rFonts w:ascii="Times New Roman" w:hAnsi="Times New Roman" w:cs="Times New Roman"/>
          <w:sz w:val="24"/>
          <w:szCs w:val="24"/>
        </w:rPr>
        <w:t xml:space="preserve">Fuest, C., &amp; Riedel, N. (2012). Tax evasion and tax avoidance: The role of international profit shifting. In P. Reuter (Ed.), </w:t>
      </w:r>
      <w:r w:rsidRPr="00AE5182">
        <w:rPr>
          <w:rFonts w:ascii="Times New Roman" w:hAnsi="Times New Roman" w:cs="Times New Roman"/>
          <w:i/>
          <w:sz w:val="24"/>
          <w:szCs w:val="24"/>
        </w:rPr>
        <w:t>Draining development? Controlling flows of illicit funds from developing countries</w:t>
      </w:r>
      <w:r w:rsidRPr="00AE5182">
        <w:rPr>
          <w:rFonts w:ascii="Times New Roman" w:hAnsi="Times New Roman" w:cs="Times New Roman"/>
          <w:sz w:val="24"/>
          <w:szCs w:val="24"/>
        </w:rPr>
        <w:t xml:space="preserve"> (pp. 109–141). World Bank. </w:t>
      </w:r>
      <w:hyperlink r:id="rId12" w:history="1">
        <w:r w:rsidR="00E3653A" w:rsidRPr="00AE5182">
          <w:rPr>
            <w:rStyle w:val="Kpr"/>
            <w:rFonts w:ascii="Times New Roman" w:hAnsi="Times New Roman" w:cs="Times New Roman"/>
            <w:sz w:val="24"/>
            <w:szCs w:val="24"/>
          </w:rPr>
          <w:t>https://doi.org/10.1596/978-0-8213-8869-3</w:t>
        </w:r>
      </w:hyperlink>
    </w:p>
    <w:p w14:paraId="1CA7BFB2" w14:textId="6B95E6D6" w:rsidR="00E3653A" w:rsidRPr="00AE5182" w:rsidRDefault="00E3653A" w:rsidP="00AE5182">
      <w:pPr>
        <w:pStyle w:val="ListeParagraf"/>
        <w:numPr>
          <w:ilvl w:val="0"/>
          <w:numId w:val="6"/>
        </w:numPr>
        <w:spacing w:after="140" w:line="360" w:lineRule="auto"/>
        <w:rPr>
          <w:rFonts w:ascii="Times New Roman" w:hAnsi="Times New Roman" w:cs="Times New Roman"/>
          <w:sz w:val="24"/>
          <w:szCs w:val="24"/>
        </w:rPr>
      </w:pPr>
      <w:r w:rsidRPr="00AE5182">
        <w:rPr>
          <w:rFonts w:ascii="Times New Roman" w:hAnsi="Times New Roman" w:cs="Times New Roman"/>
          <w:sz w:val="24"/>
          <w:szCs w:val="24"/>
        </w:rPr>
        <w:t xml:space="preserve">Tax Natives. (n.d.). </w:t>
      </w:r>
      <w:r w:rsidRPr="00AE5182">
        <w:rPr>
          <w:rFonts w:ascii="Times New Roman" w:hAnsi="Times New Roman" w:cs="Times New Roman"/>
          <w:i/>
          <w:iCs/>
          <w:sz w:val="24"/>
          <w:szCs w:val="24"/>
        </w:rPr>
        <w:t>Global minimum tax to boost revenues for tax havens: OECD</w:t>
      </w:r>
      <w:r w:rsidRPr="00AE5182">
        <w:rPr>
          <w:rFonts w:ascii="Times New Roman" w:hAnsi="Times New Roman" w:cs="Times New Roman"/>
          <w:sz w:val="24"/>
          <w:szCs w:val="24"/>
        </w:rPr>
        <w:t xml:space="preserve">. </w:t>
      </w:r>
      <w:hyperlink r:id="rId13" w:history="1">
        <w:r w:rsidRPr="00AE5182">
          <w:rPr>
            <w:rStyle w:val="Kpr"/>
            <w:rFonts w:ascii="Times New Roman" w:hAnsi="Times New Roman" w:cs="Times New Roman"/>
            <w:sz w:val="24"/>
            <w:szCs w:val="24"/>
          </w:rPr>
          <w:t>https://taxnatives.com/blog/global-minimum-tax-to-boost-revenues-for-tax-havens-oecd/</w:t>
        </w:r>
      </w:hyperlink>
    </w:p>
    <w:p w14:paraId="63E983B7" w14:textId="5EF21105" w:rsidR="000751BC" w:rsidRPr="00AE5182" w:rsidRDefault="000751BC" w:rsidP="00AE5182">
      <w:pPr>
        <w:pStyle w:val="ListeParagraf"/>
        <w:numPr>
          <w:ilvl w:val="0"/>
          <w:numId w:val="6"/>
        </w:numPr>
        <w:spacing w:after="140" w:line="360" w:lineRule="auto"/>
        <w:rPr>
          <w:rFonts w:ascii="Times New Roman" w:hAnsi="Times New Roman" w:cs="Times New Roman"/>
          <w:sz w:val="24"/>
          <w:szCs w:val="24"/>
        </w:rPr>
      </w:pPr>
      <w:r w:rsidRPr="00AE5182">
        <w:rPr>
          <w:rFonts w:ascii="Times New Roman" w:hAnsi="Times New Roman" w:cs="Times New Roman"/>
          <w:sz w:val="24"/>
          <w:szCs w:val="24"/>
        </w:rPr>
        <w:t xml:space="preserve">Forbes Insights </w:t>
      </w:r>
      <w:proofErr w:type="gramStart"/>
      <w:r w:rsidRPr="00AE5182">
        <w:rPr>
          <w:rFonts w:ascii="Times New Roman" w:hAnsi="Times New Roman" w:cs="Times New Roman"/>
          <w:sz w:val="24"/>
          <w:szCs w:val="24"/>
        </w:rPr>
        <w:t>With</w:t>
      </w:r>
      <w:proofErr w:type="gramEnd"/>
      <w:r w:rsidRPr="00AE5182">
        <w:rPr>
          <w:rFonts w:ascii="Times New Roman" w:hAnsi="Times New Roman" w:cs="Times New Roman"/>
          <w:sz w:val="24"/>
          <w:szCs w:val="24"/>
        </w:rPr>
        <w:t xml:space="preserve"> </w:t>
      </w:r>
      <w:proofErr w:type="spellStart"/>
      <w:r w:rsidRPr="00AE5182">
        <w:rPr>
          <w:rFonts w:ascii="Times New Roman" w:hAnsi="Times New Roman" w:cs="Times New Roman"/>
          <w:sz w:val="24"/>
          <w:szCs w:val="24"/>
        </w:rPr>
        <w:t>Sovos</w:t>
      </w:r>
      <w:proofErr w:type="spellEnd"/>
      <w:r w:rsidRPr="00AE5182">
        <w:rPr>
          <w:rFonts w:ascii="Times New Roman" w:hAnsi="Times New Roman" w:cs="Times New Roman"/>
          <w:sz w:val="24"/>
          <w:szCs w:val="24"/>
        </w:rPr>
        <w:t xml:space="preserve">. (2019, April 18). </w:t>
      </w:r>
      <w:r w:rsidRPr="00AE5182">
        <w:rPr>
          <w:rFonts w:ascii="Times New Roman" w:hAnsi="Times New Roman" w:cs="Times New Roman"/>
          <w:i/>
          <w:iCs/>
          <w:sz w:val="24"/>
          <w:szCs w:val="24"/>
        </w:rPr>
        <w:t>Global taxation is going digital. Here’s how to prepare.</w:t>
      </w:r>
      <w:r w:rsidRPr="00AE5182">
        <w:rPr>
          <w:rFonts w:ascii="Times New Roman" w:hAnsi="Times New Roman" w:cs="Times New Roman"/>
          <w:sz w:val="24"/>
          <w:szCs w:val="24"/>
        </w:rPr>
        <w:t xml:space="preserve"> Forbes. </w:t>
      </w:r>
      <w:hyperlink r:id="rId14" w:history="1">
        <w:r w:rsidRPr="00AE5182">
          <w:rPr>
            <w:rStyle w:val="Kpr"/>
            <w:rFonts w:ascii="Times New Roman" w:hAnsi="Times New Roman" w:cs="Times New Roman"/>
            <w:sz w:val="24"/>
            <w:szCs w:val="24"/>
          </w:rPr>
          <w:t>https://www.forbes.com/sites/insights-sovos/2019/04/18/global-taxation-is-going-digital-heres-how-to-prepare/</w:t>
        </w:r>
      </w:hyperlink>
    </w:p>
    <w:p w14:paraId="3FC1E775" w14:textId="77777777" w:rsidR="00F07748" w:rsidRPr="00AE5182" w:rsidRDefault="00F07748" w:rsidP="00AE5182">
      <w:pPr>
        <w:pStyle w:val="GvdeMetni"/>
        <w:spacing w:line="360" w:lineRule="auto"/>
        <w:rPr>
          <w:rFonts w:ascii="Times New Roman" w:hAnsi="Times New Roman" w:cs="Times New Roman"/>
          <w:sz w:val="24"/>
          <w:szCs w:val="24"/>
        </w:rPr>
      </w:pPr>
    </w:p>
    <w:p w14:paraId="3602DE1D" w14:textId="77777777" w:rsidR="001D6C44" w:rsidRPr="00DD680F" w:rsidRDefault="001D6C44" w:rsidP="001D6C44">
      <w:pPr>
        <w:tabs>
          <w:tab w:val="left" w:pos="1185"/>
          <w:tab w:val="left" w:pos="1188"/>
        </w:tabs>
        <w:spacing w:before="116" w:line="352" w:lineRule="auto"/>
        <w:ind w:right="974"/>
        <w:jc w:val="both"/>
        <w:rPr>
          <w:rFonts w:ascii="Times New Roman" w:hAnsi="Times New Roman" w:cs="Times New Roman"/>
          <w:b/>
          <w:bCs/>
          <w:color w:val="131312"/>
        </w:rPr>
      </w:pPr>
      <w:r w:rsidRPr="00DD680F">
        <w:rPr>
          <w:rFonts w:ascii="Times New Roman" w:hAnsi="Times New Roman" w:cs="Times New Roman"/>
          <w:b/>
          <w:bCs/>
          <w:color w:val="131312"/>
        </w:rPr>
        <w:t>This Policy Brief has been prepared as part of the participants / students’ assessment in the framework of the EU Politics lecture.</w:t>
      </w:r>
    </w:p>
    <w:p w14:paraId="270FC81E" w14:textId="3AB71911" w:rsidR="001D6C44" w:rsidRPr="00DD680F" w:rsidRDefault="001D6C44" w:rsidP="001D6C44">
      <w:pPr>
        <w:tabs>
          <w:tab w:val="left" w:pos="1185"/>
          <w:tab w:val="left" w:pos="1188"/>
        </w:tabs>
        <w:spacing w:before="116" w:line="352" w:lineRule="auto"/>
        <w:ind w:right="974"/>
        <w:jc w:val="both"/>
        <w:rPr>
          <w:rFonts w:ascii="Times New Roman" w:hAnsi="Times New Roman" w:cs="Times New Roman"/>
          <w:b/>
          <w:bCs/>
          <w:color w:val="131312"/>
        </w:rPr>
      </w:pPr>
      <w:r w:rsidRPr="00DD680F">
        <w:rPr>
          <w:rFonts w:ascii="Times New Roman" w:hAnsi="Times New Roman" w:cs="Times New Roman"/>
          <w:b/>
          <w:bCs/>
          <w:color w:val="131312"/>
        </w:rPr>
        <w:t xml:space="preserve">The content of this policy brief lies entirely with the author. It does not reflect the official opinion of </w:t>
      </w:r>
      <w:proofErr w:type="spellStart"/>
      <w:r w:rsidRPr="00DD680F">
        <w:rPr>
          <w:rFonts w:ascii="Times New Roman" w:hAnsi="Times New Roman" w:cs="Times New Roman"/>
          <w:b/>
          <w:bCs/>
          <w:color w:val="131312"/>
        </w:rPr>
        <w:t>Çağ</w:t>
      </w:r>
      <w:proofErr w:type="spellEnd"/>
      <w:r w:rsidRPr="00DD680F">
        <w:rPr>
          <w:rFonts w:ascii="Times New Roman" w:hAnsi="Times New Roman" w:cs="Times New Roman"/>
          <w:b/>
          <w:bCs/>
          <w:color w:val="131312"/>
        </w:rPr>
        <w:t xml:space="preserve"> University</w:t>
      </w:r>
      <w:r w:rsidRPr="00DD680F">
        <w:rPr>
          <w:rFonts w:ascii="Times New Roman" w:hAnsi="Times New Roman" w:cs="Times New Roman"/>
          <w:b/>
          <w:bCs/>
          <w:color w:val="131312"/>
        </w:rPr>
        <w:t>.</w:t>
      </w:r>
    </w:p>
    <w:p w14:paraId="16329C17" w14:textId="77777777" w:rsidR="00F07748" w:rsidRPr="00AE5182" w:rsidRDefault="00F07748" w:rsidP="00AE5182">
      <w:pPr>
        <w:pStyle w:val="GvdeMetni"/>
        <w:spacing w:line="360" w:lineRule="auto"/>
        <w:rPr>
          <w:rFonts w:ascii="Times New Roman" w:hAnsi="Times New Roman" w:cs="Times New Roman"/>
          <w:sz w:val="24"/>
          <w:szCs w:val="24"/>
        </w:rPr>
      </w:pPr>
    </w:p>
    <w:p w14:paraId="2E9AE5FD" w14:textId="6163AE4C" w:rsidR="00F07748" w:rsidRPr="00AE5182" w:rsidRDefault="00F07748" w:rsidP="00AE5182">
      <w:pPr>
        <w:pStyle w:val="GvdeMetni"/>
        <w:spacing w:line="360" w:lineRule="auto"/>
        <w:rPr>
          <w:rFonts w:ascii="Times New Roman" w:hAnsi="Times New Roman" w:cs="Times New Roman"/>
          <w:sz w:val="24"/>
          <w:szCs w:val="24"/>
        </w:rPr>
      </w:pPr>
    </w:p>
    <w:p w14:paraId="0775E744" w14:textId="77777777" w:rsidR="00F07748" w:rsidRPr="00AE5182" w:rsidRDefault="00F07748" w:rsidP="00AE5182">
      <w:pPr>
        <w:pStyle w:val="GvdeMetni"/>
        <w:spacing w:line="360" w:lineRule="auto"/>
        <w:rPr>
          <w:rFonts w:ascii="Times New Roman" w:hAnsi="Times New Roman" w:cs="Times New Roman"/>
          <w:sz w:val="24"/>
          <w:szCs w:val="24"/>
        </w:rPr>
      </w:pPr>
    </w:p>
    <w:p w14:paraId="5135D2B3" w14:textId="77777777" w:rsidR="00F07748" w:rsidRPr="00AE5182" w:rsidRDefault="00F07748" w:rsidP="00AE5182">
      <w:pPr>
        <w:pStyle w:val="GvdeMetni"/>
        <w:spacing w:line="360" w:lineRule="auto"/>
        <w:rPr>
          <w:rFonts w:ascii="Times New Roman" w:hAnsi="Times New Roman" w:cs="Times New Roman"/>
          <w:sz w:val="24"/>
          <w:szCs w:val="24"/>
        </w:rPr>
      </w:pPr>
    </w:p>
    <w:p w14:paraId="18E1034F" w14:textId="77777777" w:rsidR="00F07748" w:rsidRPr="00AE5182" w:rsidRDefault="00F07748" w:rsidP="00AE5182">
      <w:pPr>
        <w:pStyle w:val="GvdeMetni"/>
        <w:spacing w:line="360" w:lineRule="auto"/>
        <w:rPr>
          <w:rFonts w:ascii="Times New Roman" w:hAnsi="Times New Roman" w:cs="Times New Roman"/>
          <w:sz w:val="24"/>
          <w:szCs w:val="24"/>
        </w:rPr>
      </w:pPr>
    </w:p>
    <w:p w14:paraId="0B489EDB" w14:textId="77777777" w:rsidR="00F07748" w:rsidRPr="00AE5182" w:rsidRDefault="00F07748" w:rsidP="00AE5182">
      <w:pPr>
        <w:pStyle w:val="GvdeMetni"/>
        <w:spacing w:line="360" w:lineRule="auto"/>
        <w:rPr>
          <w:rFonts w:ascii="Times New Roman" w:hAnsi="Times New Roman" w:cs="Times New Roman"/>
          <w:sz w:val="24"/>
          <w:szCs w:val="24"/>
        </w:rPr>
      </w:pPr>
    </w:p>
    <w:p w14:paraId="7C02F106" w14:textId="77777777" w:rsidR="00F07748" w:rsidRPr="00AE5182" w:rsidRDefault="00F07748" w:rsidP="00AE5182">
      <w:pPr>
        <w:pStyle w:val="GvdeMetni"/>
        <w:spacing w:line="360" w:lineRule="auto"/>
        <w:rPr>
          <w:rFonts w:ascii="Times New Roman" w:hAnsi="Times New Roman" w:cs="Times New Roman"/>
          <w:sz w:val="24"/>
          <w:szCs w:val="24"/>
        </w:rPr>
      </w:pPr>
    </w:p>
    <w:p w14:paraId="17E57F99" w14:textId="77777777" w:rsidR="00F07748" w:rsidRPr="00AE5182" w:rsidRDefault="00F07748" w:rsidP="00AE5182">
      <w:pPr>
        <w:pStyle w:val="GvdeMetni"/>
        <w:spacing w:line="360" w:lineRule="auto"/>
        <w:rPr>
          <w:rFonts w:ascii="Times New Roman" w:hAnsi="Times New Roman" w:cs="Times New Roman"/>
          <w:sz w:val="24"/>
          <w:szCs w:val="24"/>
        </w:rPr>
      </w:pPr>
    </w:p>
    <w:p w14:paraId="5A5CD358" w14:textId="77777777" w:rsidR="00F07748" w:rsidRPr="00AE5182" w:rsidRDefault="00F07748" w:rsidP="00AE5182">
      <w:pPr>
        <w:pStyle w:val="GvdeMetni"/>
        <w:spacing w:line="360" w:lineRule="auto"/>
        <w:rPr>
          <w:rFonts w:ascii="Times New Roman" w:hAnsi="Times New Roman" w:cs="Times New Roman"/>
          <w:sz w:val="24"/>
          <w:szCs w:val="24"/>
        </w:rPr>
      </w:pPr>
    </w:p>
    <w:p w14:paraId="0055B143" w14:textId="1A7BDBA7" w:rsidR="00F07748" w:rsidRPr="00AE5182" w:rsidRDefault="00F07748" w:rsidP="00AE5182">
      <w:pPr>
        <w:spacing w:line="360" w:lineRule="auto"/>
        <w:ind w:left="151"/>
        <w:rPr>
          <w:rFonts w:ascii="Times New Roman" w:hAnsi="Times New Roman" w:cs="Times New Roman"/>
          <w:b/>
          <w:sz w:val="24"/>
          <w:szCs w:val="24"/>
        </w:rPr>
      </w:pPr>
    </w:p>
    <w:sectPr w:rsidR="00F07748" w:rsidRPr="00AE5182">
      <w:footerReference w:type="default" r:id="rId15"/>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8899F" w14:textId="77777777" w:rsidR="00C402CC" w:rsidRDefault="00C402CC">
      <w:r>
        <w:separator/>
      </w:r>
    </w:p>
  </w:endnote>
  <w:endnote w:type="continuationSeparator" w:id="0">
    <w:p w14:paraId="3AE5898E" w14:textId="77777777" w:rsidR="00C402CC" w:rsidRDefault="00C4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DD15" w14:textId="77777777" w:rsidR="00F07748" w:rsidRDefault="00000000">
    <w:pPr>
      <w:pStyle w:val="GvdeMetni"/>
      <w:spacing w:line="200" w:lineRule="exact"/>
      <w:rPr>
        <w:sz w:val="20"/>
      </w:rPr>
    </w:pPr>
    <w:r>
      <w:rPr>
        <w:noProof/>
        <w:sz w:val="20"/>
      </w:rPr>
      <mc:AlternateContent>
        <mc:Choice Requires="wps">
          <w:drawing>
            <wp:anchor distT="0" distB="0" distL="0" distR="0" simplePos="0" relativeHeight="251658240" behindDoc="1" locked="0" layoutInCell="1" allowOverlap="1" wp14:anchorId="4DE9B28C" wp14:editId="197381B3">
              <wp:simplePos x="0" y="0"/>
              <wp:positionH relativeFrom="page">
                <wp:posOffset>302259</wp:posOffset>
              </wp:positionH>
              <wp:positionV relativeFrom="page">
                <wp:posOffset>10196194</wp:posOffset>
              </wp:positionV>
              <wp:extent cx="25463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2400"/>
                      </a:xfrm>
                      <a:prstGeom prst="rect">
                        <a:avLst/>
                      </a:prstGeom>
                    </wps:spPr>
                    <wps:txbx>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wps:txbx>
                    <wps:bodyPr wrap="square" lIns="0" tIns="0" rIns="0" bIns="0" rtlCol="0">
                      <a:noAutofit/>
                    </wps:bodyPr>
                  </wps:wsp>
                </a:graphicData>
              </a:graphic>
            </wp:anchor>
          </w:drawing>
        </mc:Choice>
        <mc:Fallback>
          <w:pict>
            <v:shapetype w14:anchorId="4DE9B28C" id="_x0000_t202" coordsize="21600,21600" o:spt="202" path="m,l,21600r21600,l21600,xe">
              <v:stroke joinstyle="miter"/>
              <v:path gradientshapeok="t" o:connecttype="rect"/>
            </v:shapetype>
            <v:shape id="Textbox 9" o:spid="_x0000_s1029" type="#_x0000_t202" style="position:absolute;margin-left:23.8pt;margin-top:802.85pt;width:20.05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" filled="f" stroked="f">
              <v:textbox inset="0,0,0,0">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1367" w14:textId="77777777" w:rsidR="00F07748" w:rsidRDefault="00F07748">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51FB" w14:textId="77777777" w:rsidR="00C402CC" w:rsidRDefault="00C402CC">
      <w:r>
        <w:separator/>
      </w:r>
    </w:p>
  </w:footnote>
  <w:footnote w:type="continuationSeparator" w:id="0">
    <w:p w14:paraId="12F7A1F4" w14:textId="77777777" w:rsidR="00C402CC" w:rsidRDefault="00C40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4D6D058"/>
    <w:lvl w:ilvl="0">
      <w:start w:val="1"/>
      <w:numFmt w:val="decimal"/>
      <w:pStyle w:val="ListeNumaras"/>
      <w:lvlText w:val="%1."/>
      <w:lvlJc w:val="left"/>
      <w:pPr>
        <w:tabs>
          <w:tab w:val="num" w:pos="360"/>
        </w:tabs>
        <w:ind w:left="360" w:hanging="360"/>
      </w:pPr>
    </w:lvl>
  </w:abstractNum>
  <w:abstractNum w:abstractNumId="1" w15:restartNumberingAfterBreak="0">
    <w:nsid w:val="0CE96F9F"/>
    <w:multiLevelType w:val="hybridMultilevel"/>
    <w:tmpl w:val="FE04708E"/>
    <w:lvl w:ilvl="0" w:tplc="8D7A091C">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EE3871DC">
      <w:numFmt w:val="bullet"/>
      <w:lvlText w:val="•"/>
      <w:lvlJc w:val="left"/>
      <w:pPr>
        <w:ind w:left="461" w:hanging="279"/>
      </w:pPr>
      <w:rPr>
        <w:rFonts w:hint="default"/>
        <w:lang w:val="en-US" w:eastAsia="en-US" w:bidi="ar-SA"/>
      </w:rPr>
    </w:lvl>
    <w:lvl w:ilvl="2" w:tplc="5F42FBFA">
      <w:numFmt w:val="bullet"/>
      <w:lvlText w:val="•"/>
      <w:lvlJc w:val="left"/>
      <w:pPr>
        <w:ind w:left="763" w:hanging="279"/>
      </w:pPr>
      <w:rPr>
        <w:rFonts w:hint="default"/>
        <w:lang w:val="en-US" w:eastAsia="en-US" w:bidi="ar-SA"/>
      </w:rPr>
    </w:lvl>
    <w:lvl w:ilvl="3" w:tplc="408ED562">
      <w:numFmt w:val="bullet"/>
      <w:lvlText w:val="•"/>
      <w:lvlJc w:val="left"/>
      <w:pPr>
        <w:ind w:left="1065" w:hanging="279"/>
      </w:pPr>
      <w:rPr>
        <w:rFonts w:hint="default"/>
        <w:lang w:val="en-US" w:eastAsia="en-US" w:bidi="ar-SA"/>
      </w:rPr>
    </w:lvl>
    <w:lvl w:ilvl="4" w:tplc="A93CCECA">
      <w:numFmt w:val="bullet"/>
      <w:lvlText w:val="•"/>
      <w:lvlJc w:val="left"/>
      <w:pPr>
        <w:ind w:left="1367" w:hanging="279"/>
      </w:pPr>
      <w:rPr>
        <w:rFonts w:hint="default"/>
        <w:lang w:val="en-US" w:eastAsia="en-US" w:bidi="ar-SA"/>
      </w:rPr>
    </w:lvl>
    <w:lvl w:ilvl="5" w:tplc="9FEEEB16">
      <w:numFmt w:val="bullet"/>
      <w:lvlText w:val="•"/>
      <w:lvlJc w:val="left"/>
      <w:pPr>
        <w:ind w:left="1669" w:hanging="279"/>
      </w:pPr>
      <w:rPr>
        <w:rFonts w:hint="default"/>
        <w:lang w:val="en-US" w:eastAsia="en-US" w:bidi="ar-SA"/>
      </w:rPr>
    </w:lvl>
    <w:lvl w:ilvl="6" w:tplc="739C8A40">
      <w:numFmt w:val="bullet"/>
      <w:lvlText w:val="•"/>
      <w:lvlJc w:val="left"/>
      <w:pPr>
        <w:ind w:left="1971" w:hanging="279"/>
      </w:pPr>
      <w:rPr>
        <w:rFonts w:hint="default"/>
        <w:lang w:val="en-US" w:eastAsia="en-US" w:bidi="ar-SA"/>
      </w:rPr>
    </w:lvl>
    <w:lvl w:ilvl="7" w:tplc="22D6E412">
      <w:numFmt w:val="bullet"/>
      <w:lvlText w:val="•"/>
      <w:lvlJc w:val="left"/>
      <w:pPr>
        <w:ind w:left="2273" w:hanging="279"/>
      </w:pPr>
      <w:rPr>
        <w:rFonts w:hint="default"/>
        <w:lang w:val="en-US" w:eastAsia="en-US" w:bidi="ar-SA"/>
      </w:rPr>
    </w:lvl>
    <w:lvl w:ilvl="8" w:tplc="04AA6F10">
      <w:numFmt w:val="bullet"/>
      <w:lvlText w:val="•"/>
      <w:lvlJc w:val="left"/>
      <w:pPr>
        <w:ind w:left="2575" w:hanging="279"/>
      </w:pPr>
      <w:rPr>
        <w:rFonts w:hint="default"/>
        <w:lang w:val="en-US" w:eastAsia="en-US" w:bidi="ar-SA"/>
      </w:rPr>
    </w:lvl>
  </w:abstractNum>
  <w:abstractNum w:abstractNumId="2" w15:restartNumberingAfterBreak="0">
    <w:nsid w:val="2F383E3B"/>
    <w:multiLevelType w:val="hybridMultilevel"/>
    <w:tmpl w:val="018A4E62"/>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2C57C33"/>
    <w:multiLevelType w:val="hybridMultilevel"/>
    <w:tmpl w:val="00EA610E"/>
    <w:lvl w:ilvl="0" w:tplc="041F000F">
      <w:start w:val="1"/>
      <w:numFmt w:val="decimal"/>
      <w:lvlText w:val="%1."/>
      <w:lvlJc w:val="left"/>
      <w:pPr>
        <w:ind w:left="871" w:hanging="360"/>
      </w:p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79701B36"/>
    <w:multiLevelType w:val="hybridMultilevel"/>
    <w:tmpl w:val="42A64D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9C70C64"/>
    <w:multiLevelType w:val="hybridMultilevel"/>
    <w:tmpl w:val="83864CEE"/>
    <w:lvl w:ilvl="0" w:tplc="D48A33A4">
      <w:start w:val="1"/>
      <w:numFmt w:val="decimal"/>
      <w:lvlText w:val="%1."/>
      <w:lvlJc w:val="left"/>
      <w:pPr>
        <w:ind w:left="1188" w:hanging="360"/>
      </w:pPr>
      <w:rPr>
        <w:rFonts w:hint="default"/>
        <w:spacing w:val="-1"/>
        <w:w w:val="99"/>
        <w:lang w:val="en-US" w:eastAsia="en-US" w:bidi="ar-SA"/>
      </w:rPr>
    </w:lvl>
    <w:lvl w:ilvl="1" w:tplc="9C1C4C98">
      <w:numFmt w:val="bullet"/>
      <w:lvlText w:val="•"/>
      <w:lvlJc w:val="left"/>
      <w:pPr>
        <w:ind w:left="2167" w:hanging="360"/>
      </w:pPr>
      <w:rPr>
        <w:rFonts w:hint="default"/>
        <w:lang w:val="en-US" w:eastAsia="en-US" w:bidi="ar-SA"/>
      </w:rPr>
    </w:lvl>
    <w:lvl w:ilvl="2" w:tplc="EE8C3672">
      <w:numFmt w:val="bullet"/>
      <w:lvlText w:val="•"/>
      <w:lvlJc w:val="left"/>
      <w:pPr>
        <w:ind w:left="3155" w:hanging="360"/>
      </w:pPr>
      <w:rPr>
        <w:rFonts w:hint="default"/>
        <w:lang w:val="en-US" w:eastAsia="en-US" w:bidi="ar-SA"/>
      </w:rPr>
    </w:lvl>
    <w:lvl w:ilvl="3" w:tplc="100ABEA4">
      <w:numFmt w:val="bullet"/>
      <w:lvlText w:val="•"/>
      <w:lvlJc w:val="left"/>
      <w:pPr>
        <w:ind w:left="4143" w:hanging="360"/>
      </w:pPr>
      <w:rPr>
        <w:rFonts w:hint="default"/>
        <w:lang w:val="en-US" w:eastAsia="en-US" w:bidi="ar-SA"/>
      </w:rPr>
    </w:lvl>
    <w:lvl w:ilvl="4" w:tplc="188AE506">
      <w:numFmt w:val="bullet"/>
      <w:lvlText w:val="•"/>
      <w:lvlJc w:val="left"/>
      <w:pPr>
        <w:ind w:left="5131" w:hanging="360"/>
      </w:pPr>
      <w:rPr>
        <w:rFonts w:hint="default"/>
        <w:lang w:val="en-US" w:eastAsia="en-US" w:bidi="ar-SA"/>
      </w:rPr>
    </w:lvl>
    <w:lvl w:ilvl="5" w:tplc="C77C93FE">
      <w:numFmt w:val="bullet"/>
      <w:lvlText w:val="•"/>
      <w:lvlJc w:val="left"/>
      <w:pPr>
        <w:ind w:left="6119" w:hanging="360"/>
      </w:pPr>
      <w:rPr>
        <w:rFonts w:hint="default"/>
        <w:lang w:val="en-US" w:eastAsia="en-US" w:bidi="ar-SA"/>
      </w:rPr>
    </w:lvl>
    <w:lvl w:ilvl="6" w:tplc="E7F08882">
      <w:numFmt w:val="bullet"/>
      <w:lvlText w:val="•"/>
      <w:lvlJc w:val="left"/>
      <w:pPr>
        <w:ind w:left="7107" w:hanging="360"/>
      </w:pPr>
      <w:rPr>
        <w:rFonts w:hint="default"/>
        <w:lang w:val="en-US" w:eastAsia="en-US" w:bidi="ar-SA"/>
      </w:rPr>
    </w:lvl>
    <w:lvl w:ilvl="7" w:tplc="71BEF018">
      <w:numFmt w:val="bullet"/>
      <w:lvlText w:val="•"/>
      <w:lvlJc w:val="left"/>
      <w:pPr>
        <w:ind w:left="8095" w:hanging="360"/>
      </w:pPr>
      <w:rPr>
        <w:rFonts w:hint="default"/>
        <w:lang w:val="en-US" w:eastAsia="en-US" w:bidi="ar-SA"/>
      </w:rPr>
    </w:lvl>
    <w:lvl w:ilvl="8" w:tplc="5392787A">
      <w:numFmt w:val="bullet"/>
      <w:lvlText w:val="•"/>
      <w:lvlJc w:val="left"/>
      <w:pPr>
        <w:ind w:left="9083" w:hanging="360"/>
      </w:pPr>
      <w:rPr>
        <w:rFonts w:hint="default"/>
        <w:lang w:val="en-US" w:eastAsia="en-US" w:bidi="ar-SA"/>
      </w:rPr>
    </w:lvl>
  </w:abstractNum>
  <w:num w:numId="1" w16cid:durableId="229386912">
    <w:abstractNumId w:val="5"/>
  </w:num>
  <w:num w:numId="2" w16cid:durableId="1261373239">
    <w:abstractNumId w:val="1"/>
  </w:num>
  <w:num w:numId="3" w16cid:durableId="1186595515">
    <w:abstractNumId w:val="3"/>
  </w:num>
  <w:num w:numId="4" w16cid:durableId="1874877023">
    <w:abstractNumId w:val="0"/>
  </w:num>
  <w:num w:numId="5" w16cid:durableId="1009064417">
    <w:abstractNumId w:val="4"/>
  </w:num>
  <w:num w:numId="6" w16cid:durableId="1817255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7748"/>
    <w:rsid w:val="000751BC"/>
    <w:rsid w:val="00184BD0"/>
    <w:rsid w:val="00192548"/>
    <w:rsid w:val="001C2CB1"/>
    <w:rsid w:val="001D6C44"/>
    <w:rsid w:val="002643DD"/>
    <w:rsid w:val="00273BD4"/>
    <w:rsid w:val="002851DE"/>
    <w:rsid w:val="00312D42"/>
    <w:rsid w:val="003134E7"/>
    <w:rsid w:val="003D4FF8"/>
    <w:rsid w:val="003F0071"/>
    <w:rsid w:val="00570639"/>
    <w:rsid w:val="00576C3A"/>
    <w:rsid w:val="005C441A"/>
    <w:rsid w:val="00635BF7"/>
    <w:rsid w:val="00651030"/>
    <w:rsid w:val="006A695F"/>
    <w:rsid w:val="006B1BF3"/>
    <w:rsid w:val="006B30FB"/>
    <w:rsid w:val="00783EC6"/>
    <w:rsid w:val="00874070"/>
    <w:rsid w:val="00977601"/>
    <w:rsid w:val="00992BCA"/>
    <w:rsid w:val="00A9084B"/>
    <w:rsid w:val="00AC605E"/>
    <w:rsid w:val="00AE5182"/>
    <w:rsid w:val="00B43369"/>
    <w:rsid w:val="00B64F36"/>
    <w:rsid w:val="00C379D7"/>
    <w:rsid w:val="00C402CC"/>
    <w:rsid w:val="00CF57C2"/>
    <w:rsid w:val="00DD680F"/>
    <w:rsid w:val="00E1278A"/>
    <w:rsid w:val="00E3311F"/>
    <w:rsid w:val="00E3653A"/>
    <w:rsid w:val="00E906FC"/>
    <w:rsid w:val="00F07748"/>
    <w:rsid w:val="00FD5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F9EA"/>
  <w15:docId w15:val="{062B0C08-98D7-4CD3-8CE6-9BFB1AC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Balk1">
    <w:name w:val="heading 1"/>
    <w:basedOn w:val="Normal"/>
    <w:uiPriority w:val="9"/>
    <w:qFormat/>
    <w:pPr>
      <w:ind w:left="227"/>
      <w:outlineLvl w:val="0"/>
    </w:pPr>
    <w:rPr>
      <w:b/>
      <w:bCs/>
      <w:sz w:val="40"/>
      <w:szCs w:val="40"/>
    </w:rPr>
  </w:style>
  <w:style w:type="paragraph" w:styleId="Balk2">
    <w:name w:val="heading 2"/>
    <w:basedOn w:val="Normal"/>
    <w:uiPriority w:val="9"/>
    <w:unhideWhenUsed/>
    <w:qFormat/>
    <w:pPr>
      <w:ind w:left="295"/>
      <w:jc w:val="both"/>
      <w:outlineLvl w:val="1"/>
    </w:pPr>
    <w:rPr>
      <w:sz w:val="32"/>
      <w:szCs w:val="32"/>
    </w:rPr>
  </w:style>
  <w:style w:type="paragraph" w:styleId="Balk3">
    <w:name w:val="heading 3"/>
    <w:basedOn w:val="Normal"/>
    <w:uiPriority w:val="9"/>
    <w:unhideWhenUsed/>
    <w:qFormat/>
    <w:pPr>
      <w:spacing w:before="44"/>
      <w:ind w:left="151"/>
      <w:outlineLvl w:val="2"/>
    </w:pPr>
    <w:rPr>
      <w:b/>
      <w:bCs/>
      <w:sz w:val="28"/>
      <w:szCs w:val="28"/>
    </w:rPr>
  </w:style>
  <w:style w:type="paragraph" w:styleId="Balk4">
    <w:name w:val="heading 4"/>
    <w:basedOn w:val="Normal"/>
    <w:next w:val="Normal"/>
    <w:link w:val="Balk4Char"/>
    <w:uiPriority w:val="9"/>
    <w:unhideWhenUsed/>
    <w:qFormat/>
    <w:rsid w:val="00184B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6"/>
      <w:szCs w:val="26"/>
    </w:rPr>
  </w:style>
  <w:style w:type="paragraph" w:styleId="ListeParagraf">
    <w:name w:val="List Paragraph"/>
    <w:basedOn w:val="Normal"/>
    <w:uiPriority w:val="1"/>
    <w:qFormat/>
    <w:pPr>
      <w:spacing w:before="2"/>
      <w:ind w:left="1188"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C379D7"/>
    <w:rPr>
      <w:color w:val="0000FF" w:themeColor="hyperlink"/>
      <w:u w:val="single"/>
    </w:rPr>
  </w:style>
  <w:style w:type="character" w:styleId="zmlenmeyenBahsetme">
    <w:name w:val="Unresolved Mention"/>
    <w:basedOn w:val="VarsaylanParagrafYazTipi"/>
    <w:uiPriority w:val="99"/>
    <w:semiHidden/>
    <w:unhideWhenUsed/>
    <w:rsid w:val="00C379D7"/>
    <w:rPr>
      <w:color w:val="605E5C"/>
      <w:shd w:val="clear" w:color="auto" w:fill="E1DFDD"/>
    </w:rPr>
  </w:style>
  <w:style w:type="character" w:customStyle="1" w:styleId="Balk4Char">
    <w:name w:val="Başlık 4 Char"/>
    <w:basedOn w:val="VarsaylanParagrafYazTipi"/>
    <w:link w:val="Balk4"/>
    <w:uiPriority w:val="9"/>
    <w:rsid w:val="00184BD0"/>
    <w:rPr>
      <w:rFonts w:asciiTheme="majorHAnsi" w:eastAsiaTheme="majorEastAsia" w:hAnsiTheme="majorHAnsi" w:cstheme="majorBidi"/>
      <w:i/>
      <w:iCs/>
      <w:color w:val="365F91" w:themeColor="accent1" w:themeShade="BF"/>
    </w:rPr>
  </w:style>
  <w:style w:type="paragraph" w:styleId="KonuBal">
    <w:name w:val="Title"/>
    <w:basedOn w:val="Normal"/>
    <w:next w:val="Normal"/>
    <w:link w:val="KonuBalChar"/>
    <w:uiPriority w:val="10"/>
    <w:qFormat/>
    <w:rsid w:val="00AC605E"/>
    <w:pPr>
      <w:widowControl/>
      <w:autoSpaceDE/>
      <w:autoSpaceDN/>
      <w:spacing w:before="200" w:after="140"/>
      <w:contextualSpacing/>
    </w:pPr>
    <w:rPr>
      <w:rFonts w:ascii="Times New Roman" w:eastAsia="Times New Roman" w:hAnsi="Times New Roman" w:cstheme="majorBidi"/>
      <w:b/>
      <w:color w:val="000000"/>
      <w:spacing w:val="5"/>
      <w:kern w:val="28"/>
      <w:sz w:val="44"/>
      <w:szCs w:val="52"/>
    </w:rPr>
  </w:style>
  <w:style w:type="character" w:customStyle="1" w:styleId="KonuBalChar">
    <w:name w:val="Konu Başlığı Char"/>
    <w:basedOn w:val="VarsaylanParagrafYazTipi"/>
    <w:link w:val="KonuBal"/>
    <w:uiPriority w:val="10"/>
    <w:rsid w:val="00AC605E"/>
    <w:rPr>
      <w:rFonts w:ascii="Times New Roman" w:eastAsia="Times New Roman" w:hAnsi="Times New Roman" w:cstheme="majorBidi"/>
      <w:b/>
      <w:color w:val="000000"/>
      <w:spacing w:val="5"/>
      <w:kern w:val="28"/>
      <w:sz w:val="44"/>
      <w:szCs w:val="52"/>
    </w:rPr>
  </w:style>
  <w:style w:type="paragraph" w:styleId="ListeNumaras">
    <w:name w:val="List Number"/>
    <w:basedOn w:val="Normal"/>
    <w:uiPriority w:val="99"/>
    <w:unhideWhenUsed/>
    <w:rsid w:val="00AC605E"/>
    <w:pPr>
      <w:widowControl/>
      <w:numPr>
        <w:numId w:val="4"/>
      </w:numPr>
      <w:tabs>
        <w:tab w:val="clear" w:pos="360"/>
      </w:tabs>
      <w:autoSpaceDE/>
      <w:autoSpaceDN/>
      <w:spacing w:after="160" w:line="259" w:lineRule="auto"/>
      <w:ind w:left="0" w:firstLine="0"/>
      <w:contextualSpacing/>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axnatives.com/blog/global-minimum-tax-to-boost-revenues-for-tax-havens-oecd/"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596/978-0-8213-8869-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6642/mjil.43.3.tax"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007/s10797-019-09547-8"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forbes.com/sites/insights-sovos/2019/04/18/global-taxation-is-going-digital-heres-how-to-prep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5</Pages>
  <Words>1424</Words>
  <Characters>8122</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İrfan Bahadır Işık</cp:lastModifiedBy>
  <cp:revision>10</cp:revision>
  <dcterms:created xsi:type="dcterms:W3CDTF">2026-10-04T07:05:00Z</dcterms:created>
  <dcterms:modified xsi:type="dcterms:W3CDTF">2026-10-25T16:00:00Z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2026-10-04T00:00:00Z</vt:filetime>
  </property>
  <property fmtid="{D5CDD505-2E9C-101B-9397-08002B2CF9AE}" pid="6" name="Producer">
    <vt:lpwstr>Microsoft® Word für Microsoft 365</vt:lpwstr>
  </property>
</Properties>
</file>